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image/png" PartName="/word/media/image.png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15DD9" w:rsidR="00513988" w:rsidP="00284675" w:rsidRDefault="0035499A" w14:paraId="5c900132" w14:textId="5c900132">
      <w:pPr>
        <w:spacing w:after="120"/>
        <w:jc w:val="center"/>
        <w15:collapsed w:val="false"/>
        <w:rPr>
          <w:b/>
          <w:sz w:val="22"/>
        </w:rPr>
      </w:pPr>
      <w:r w:rsidRPr="00556CD4">
        <w:rPr>
          <w:b/>
          <w:sz w:val="22"/>
        </w:rPr>
        <w:t xml:space="preserve">Número 404</w:t>
      </w:r>
    </w:p>
    <w:p w:rsidRPr="00556CD4" w:rsidR="0035499A" w:rsidP="00284675" w:rsidRDefault="0035499A">
      <w:pPr>
        <w:spacing w:after="120"/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10, 11, 17 e 18 de novembro de 2020</w:t>
      </w:r>
    </w:p>
    <w:p w:rsidR="001367C5" w:rsidP="001367C5" w:rsidRDefault="00364318">
      <w:pPr>
        <w:spacing w:after="120"/>
        <w:jc w:val="both"/>
        <w:rPr>
          <w:sz w:val="22"/>
        </w:rPr>
      </w:pPr>
      <w:r w:rsidRPr="00364318">
        <w:rPr>
          <w:sz w:val="22"/>
        </w:rPr>
        <w:t>Este Informativo contém informações sintéticas de decisões proferidas pelos Colegiados do TCU, relativas à área de Licitações e Contratos, que receberam indicação de relevância sob o prisma jurisprudencial no período acima indicado. Os enunciados procuram retratar o entendimento das deliberações das quais foram extraídos. As informações aqui apresentadas não constituem, todavia, resumo oficial da decisão proferida pelo Tribunal nem representam, necessariamente, o posicionamento prevalecente do TCU sobre a matéria. O objetivo é facilitar o acompanhamento dos acórdãos mais importantes do TCU. Para aprofundamento, o leitor pode acessar o inteiro teor das deliberações por meio dos links disponíveis.</w:t>
      </w:r>
    </w:p>
    <w:p w:rsidR="001367C5" w:rsidP="001367C5" w:rsidRDefault="00C75D56">
      <w:pPr>
        <w:spacing w:after="120"/>
        <w:jc w:val="both"/>
        <w:rPr>
          <w:sz w:val="22"/>
        </w:rPr>
      </w:pPr>
      <w:r>
        <w:rPr>
          <w:noProof/>
          <w:sz w:val="22"/>
          <w:lang w:eastAsia="pt-BR"/>
        </w:rPr>
        <w:pict>
          <v:line from="0,1.75pt" to="494.75pt,2.55pt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id="Conector reto 2" o:spid="_x0000_s1026" strokecolor="#00b050" strokeweight="2pt">
            <v:shadow on="t" color="black" opacity="24903f" offset="0,.55556mm" origin=",.5"/>
            <w10:wrap anchorx="margin"/>
          </v:line>
        </w:pict>
      </w:r>
    </w:p>
    <w:p w:rsidRPr="00107C47" w:rsidR="0035499A" w:rsidP="001367C5" w:rsidRDefault="009772F2">
      <w:pPr>
        <w:spacing w:after="120"/>
        <w:jc w:val="center"/>
        <w:rPr>
          <w:b/>
          <w:sz w:val="22"/>
        </w:rPr>
      </w:pPr>
      <w:r w:rsidRPr="00556CD4">
        <w:rPr>
          <w:b/>
          <w:sz w:val="22"/>
        </w:rPr>
        <w:t>SUMÁRIO</w:t>
      </w:r>
    </w:p>
    <w:p>
      <w:pPr>
        <w:sectPr w:rsidRPr="00107C47" w:rsidR="0035499A" w:rsidSect="00AA3E05">
          <w:headerReference w:type="default" r:id="rId8"/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Pr="00903EA5" w:rsidR="00F94AD7" w:rsidP="00D95C06" w:rsidRDefault="0015444D" w14:paraId="cbcf1cce" w14:textId="cbcf1cce">
      <w:pPr>
        <w:spacing w:after="120"/>
        <w15:collapsed w:val="false"/>
        <w:rPr>
          <w:rFonts w:ascii="Times New Roman" w:hAnsi="Times New Roman" w:cs="Times New Roman"/>
          <w:b/>
        </w:rPr>
      </w:pPr>
      <w:r w:rsidRPr="007A4947">
        <w:rPr>
          <w:rFonts w:ascii="Times New Roman" w:hAnsi="Times New Roman" w:cs="Times New Roman"/>
          <w:b/>
        </w:rPr>
        <w:t>Plenário</w:t>
      </w:r>
    </w:p>
    <w:p>
      <w:pPr>
        <w:sectPr w:rsidRPr="00903EA5" w:rsidR="00F94AD7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Pr="000B488C" w:rsidR="00123C66" w:rsidP="0087595B" w:rsidRDefault="00123C66" w14:paraId="58447213" w14:textId="58447213">
      <w:pPr>
        <w:spacing w:after="120" w:line="240" w:lineRule="auto"/>
        <w:jc w:val="both"/>
        <w15:collapsed w:val="false"/>
        <w:rPr>
          <w:rFonts w:ascii="Times New Roman" w:hAnsi="Times New Roman" w:cs="Times New Roman"/>
        </w:rPr>
      </w:pPr>
      <w:r w:rsidRPr="002E4300">
        <w:rPr>
          <w:rFonts w:ascii="Times New Roman" w:hAnsi="Times New Roman"/>
          <w:sz w:val="22"/>
          <w:szCs w:val="22"/>
        </w:rPr>
        <w:t>1. A aquisição de imóvel por dispensa de licitação (art. 24, inciso X, da Lei 8.666/1993) sem estar fundamentada em pareceres de avaliação técnica e econômica que condicionem a sua escolha sujeita o responsável à aplicação de penalidade pelo TCU.</w:t>
      </w:r>
    </w:p>
    <w:p>
      <w:pPr>
        <w:sectPr w:rsidRPr="000B488C" w:rsidR="00123C66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Pr="000B488C" w:rsidR="00123C66" w:rsidP="0087595B" w:rsidRDefault="00123C66" w14:paraId="b40d770b" w14:textId="b40d770b">
      <w:pPr>
        <w:spacing w:after="120" w:line="240" w:lineRule="auto"/>
        <w:jc w:val="both"/>
        <w15:collapsed w:val="false"/>
        <w:rPr>
          <w:rFonts w:ascii="Times New Roman" w:hAnsi="Times New Roman" w:cs="Times New Roman"/>
        </w:rPr>
      </w:pPr>
      <w:r w:rsidRPr="002E4300">
        <w:rPr>
          <w:rFonts w:ascii="Times New Roman" w:hAnsi="Times New Roman"/>
          <w:sz w:val="22"/>
          <w:szCs w:val="22"/>
        </w:rPr>
        <w:t>2. É irregular a exigência de que o atestado de capacidade técnico-operacional de empresa participante de licitação seja registrado ou averbado no Crea (art. 55 da Resolução-Confea 1.025/2009), cabendo tal exigência apenas para fins de qualificação técnico-profissional. Podem, no entanto, ser solicitadas as certidões de acervo técnico (CAT) ou as anotações e registros de responsabilidade técnica (ART/RRT) emitidas pelo conselho de fiscalização em nome dos profissionais vinculados aos atestados, como forma de conferir autenticidade e veracidade às informações constantes nos documentos emitidos em nome das licitantes.</w:t>
      </w:r>
    </w:p>
    <w:p>
      <w:pPr>
        <w:sectPr w:rsidRPr="000B488C" w:rsidR="00123C66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Pr="00152F1A" w:rsidR="006639D8" w:rsidP="0000168F" w:rsidRDefault="00152F1A" w14:paraId="ba44a65b" w14:textId="ba44a65b">
      <w:pPr>
        <w15:collapsed w:val="false"/>
      </w:pPr>
      <w:r>
        <w:rPr>
          <w:noProof/>
          <w:sz w:val="22"/>
          <w:lang w:eastAsia="pt-BR"/>
        </w:rPr>
        <w:pict>
          <v:line from="0,0" to="494.75pt,.8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id="Conector reto 3" o:spid="_x0000_s1026" strokecolor="black [3200]" strokeweight="2pt">
            <v:shadow on="t" color="black" opacity="24903f" offset="0,.55556mm" origin=",.5"/>
            <w10:wrap anchorx="margin"/>
          </v:line>
        </w:pict>
      </w:r>
    </w:p>
    <w:p>
      <w:pPr>
        <w:sectPr w:rsidRPr="00152F1A" w:rsidR="006639D8" w:rsidSect="00EE3E91">
          <w:footerReference w:type="default" r:id="rId11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P="00692853" w:rsidRDefault="005857F1" w14:paraId="dd9ba9eb" w14:textId="dd9ba9eb">
      <w:pPr>
        <w:spacing w:after="0" w:line="240" w:lineRule="auto"/>
        <w:jc w:val="center"/>
        <w15:collapsed w:val="false"/>
        <w:rPr>
          <w:rFonts w:ascii="Times New Roman" w:hAnsi="Times New Roman" w:cs="Times New Roman"/>
          <w:b/>
        </w:rPr>
      </w:pPr>
      <w:r w:rsidRPr="004D0B45">
        <w:rPr>
          <w:rFonts w:ascii="Times New Roman" w:hAnsi="Times New Roman" w:cs="Times New Roman"/>
          <w:b/>
        </w:rPr>
        <w:t>PLENÁRIO</w:t>
      </w:r>
    </w:p>
    <w:p w:rsidRPr="00C474BD" w:rsidR="00EA6425" w:rsidP="00692853" w:rsidRDefault="00EA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ectPr w:rsidRPr="00C474BD" w:rsidR="00EA6425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rPr>
          <w:sz w:val="22"/>
        </w:rPr>
        <w:id w:val="177164523"/>
        <w:lock w:val="contentLocked"/>
        <w:placeholder>
          <w:docPart w:val="D60A75F72E4149238277D75894B69C14"/>
        </w:placeholder>
        <w:showingPlcHdr/>
        <w:group/>
      </w:sdtPr>
      <w:sdtEndPr/>
      <w:sdtContent>
        <w:p w:rsidR="00BF0515" w:rsidP="00061BA7" w:rsidRDefault="00391CDF">
          <w:pPr>
            <w:widowControl w:val="false"/>
            <w:tabs>
              <w:tab w:val="left" w:pos="1500"/>
            </w:tabs>
            <w:autoSpaceDE w:val="false"/>
            <w:autoSpaceDN w:val="false"/>
            <w:ind w:left="22"/>
            <w:jc w:val="both"/>
            <w:rPr>
              <w:sz w:val="22"/>
            </w:rPr>
          </w:pPr>
          <w:r w:rsidRPr="00391CDF">
            <w:rPr>
              <w:rFonts w:ascii="Times New Roman" w:hAnsi="Times New Roman"/>
              <w:b/>
              <w:sz w:val="22"/>
              <w:szCs w:val="22"/>
            </w:rPr>
            <w:t>1. A aquisição de imóvel por dispensa de licitação (art. 24, inciso X, da Lei 8.666/1993) sem estar fundamentada em pareceres de avaliação técnica e econômica que condicionem a sua escolha sujeita o responsável à aplicação de penalidade pelo TCU.</w:t>
          </w:r>
        </w:p>
      </w:sdtContent>
    </w:sdt>
    <w:p w:rsidR="00E40625" w:rsidP="004F762E" w:rsidRDefault="00111E78">
      <w:pPr>
        <w:pStyle w:val="TCU-Epgrafe"/>
        <w:ind w:left="22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TCU julgou representação autuada a partir de informação do então vice-presidente do Tribunal Regional Eleitoral em Pernambuco (TRE/PE), que noticiou possíveis irregularidades na aquisição, por dispensa de licitação, de terreno destinado à construção da “</w:t>
      </w:r>
      <w:r w:rsidRPr="005B6FBC" w:rsidR="002C05C2">
        <w:rPr>
          <w:rFonts w:ascii="Times New Roman" w:hAnsi="Times New Roman"/>
          <w:i/>
          <w:sz w:val="22"/>
          <w:szCs w:val="22"/>
        </w:rPr>
        <w:t>Unidade de Armazenamento de Urnas e Afins do Polo 1 – Recife/PE</w:t>
      </w:r>
      <w:r w:rsidRPr="005B6FBC" w:rsidR="005B6FBC">
        <w:rPr>
          <w:rFonts w:ascii="Times New Roman" w:hAnsi="Times New Roman"/>
          <w:sz w:val="22"/>
          <w:szCs w:val="22"/>
        </w:rPr>
        <w:t xml:space="preserve">”, pelo valor de R$ 5,5 milhões. No curso do processo, a unidade técnica constatou que não houvera superfaturamento na transação do negócio jurídico, entretanto duas irregularidades foram evidenciadas: aquisição do terreno por dispensa de licitação, sem a demonstração de que a escolha era a mais vantajosa para a Administração, contrariando os arts. 3º, 24, inciso X, e 26, incisos II e III, da Lei 8.666/1993; e prática de ato antieconômico, por ter sido necessária redução no projeto de construção para que o terreno pudesse ser aproveitado, posto que estava localizado em área de manguezal, margeada por um rio que, em períodos de cheia, atingia a cota de 5,44 m do imóvel. Ao examinar as justificativas do então Coordenador de Engenharia e Arquitetura do TRE/PE, um dos responsáveis ouvidos em audiência nos autos, o relator consignou que ele “</w:t>
      </w:r>
      <w:r w:rsidRPr="00F64407" w:rsidR="00F64407">
        <w:rPr>
          <w:rFonts w:ascii="Times New Roman" w:hAnsi="Times New Roman"/>
          <w:i/>
          <w:sz w:val="22"/>
          <w:szCs w:val="22"/>
        </w:rPr>
        <w:t xml:space="preserve">assinou a solicitação de aquisição de um imóvel específico, sem juntar aos autos do processo administrativo a motivação necessária que demonstrasse a vantajosidade da aquisição para a administração, sem mesmo realizar os procedimentos prévios necessários para uma compra de tal porte e relevância</w:t>
      </w:r>
      <w:r w:rsidR="00F64407">
        <w:rPr>
          <w:rFonts w:ascii="Times New Roman" w:hAnsi="Times New Roman"/>
          <w:sz w:val="22"/>
          <w:szCs w:val="22"/>
        </w:rPr>
        <w:t xml:space="preserve">”, detalhando que a “</w:t>
      </w:r>
      <w:r w:rsidRPr="00F64407" w:rsidR="00F64407">
        <w:rPr>
          <w:rFonts w:ascii="Times New Roman" w:hAnsi="Times New Roman"/>
          <w:i/>
          <w:sz w:val="22"/>
          <w:szCs w:val="22"/>
        </w:rPr>
        <w:t>documentação referente às alegadas vistorias em outros imóveis não foi levada aos autos, portanto não há como se levar em conta que efetivamente ocorreram. A consulta à Secretaria do Patrimônio da União (SPU) não abrangeu eventuais imóveis na capital pernambucana nem nos demais municípios da região metropolitana do Recife, ficando restrita à Camaragibe/PE, sem haver nos autos motivação razoável para tanto. Não houve, previamente à compra, uma análise técnica que atestasse que o imóvel era adequado às pretensões do TRE/PE, tanto que as etapas de topografia, sondagem e absorção foram realizadas depois da aquisição do imóvel, contrariando o disposto no próprio Plano de Gestão da Presidência do Tribunal</w:t>
      </w:r>
      <w:r w:rsidR="00F64407">
        <w:rPr>
          <w:rFonts w:ascii="Times New Roman" w:hAnsi="Times New Roman"/>
          <w:sz w:val="22"/>
          <w:szCs w:val="22"/>
        </w:rPr>
        <w:t xml:space="preserve">”. Depois de observar a necessidade de o TRE/PE ter contratado duas empresas para atestar a viabilidade de construção de edificação no terreno para abrigar a unidade de armazenamento e diante da opção do órgão por reduzir a área construída, em decorrência dos custos envolvidos na execução de uma fundação especial, o relator concluiu que “</w:t>
      </w:r>
      <w:r w:rsidRPr="00A658A0" w:rsidR="00A658A0">
        <w:rPr>
          <w:rFonts w:ascii="Times New Roman" w:hAnsi="Times New Roman"/>
          <w:i/>
          <w:sz w:val="22"/>
          <w:szCs w:val="22"/>
        </w:rPr>
        <w:t>é possível inferir que, caso os procedimentos para a dispensa de licitação houvessem sido seguidos, o TRE/PE poderia ter adquirido um terreno bem mais apropriado à finalidade pretendida, e a construção poderia ter sido finalizada há muito tempo</w:t>
      </w:r>
      <w:r w:rsidR="00A658A0">
        <w:rPr>
          <w:rFonts w:ascii="Times New Roman" w:hAnsi="Times New Roman"/>
          <w:sz w:val="22"/>
          <w:szCs w:val="22"/>
        </w:rPr>
        <w:t xml:space="preserve">”, adicionando que restou “</w:t>
      </w:r>
      <w:r w:rsidRPr="009A139A" w:rsidR="009A139A">
        <w:rPr>
          <w:rFonts w:ascii="Times New Roman" w:hAnsi="Times New Roman"/>
          <w:i/>
          <w:sz w:val="22"/>
          <w:szCs w:val="22"/>
        </w:rPr>
        <w:t>demonstrado que a aquisição direcionada do terreno de Camaragibe/PE, por suas características, consistiu em ato antieconômico, devido aos prejuízos intangíveis causados à Administração, que teve que reduzir o projeto da edificação pela metade</w:t>
      </w:r>
      <w:r w:rsidR="009A139A">
        <w:rPr>
          <w:rFonts w:ascii="Times New Roman" w:hAnsi="Times New Roman"/>
          <w:sz w:val="22"/>
          <w:szCs w:val="22"/>
        </w:rPr>
        <w:t xml:space="preserve">”. Com base nessas considerações, o Plenário do TCU rejeitou as razões de justificativa do responsável e imputou-lhe a multa capitulada no art. 58, inciso II, da Lei 8.443/1992.</w:t>
      </w:r>
    </w:p>
    <w:p w:rsidRPr="00FB5DE9" w:rsidR="00336C4E" w:rsidP="00BF0515" w:rsidRDefault="00166BC7" w14:paraId="2269b983" w14:textId="2269b983">
      <w:pPr>
        <w:widowControl w:val="false"/>
        <w:autoSpaceDE w:val="false"/>
        <w:autoSpaceDN w:val="false"/>
        <w:ind w:left="22"/>
        <w:jc w:val="both"/>
        <w15:collapsed w:val="false"/>
        <w:rPr>
          <w:b/>
          <w:sz w:val="22"/>
        </w:rPr>
      </w:pPr>
      <w:hyperlink w:history="true" r:id="rId13">
        <w:r w:rsidRPr="00C76877" w:rsidR="00684FC6">
          <w:rPr>
            <w:rStyle w:val="Hyperlink"/>
            <w:rFonts w:ascii="Times New Roman" w:hAnsi="Times New Roman"/>
            <w:b/>
            <w:sz w:val="22"/>
            <w:szCs w:val="22"/>
            <w:u w:val="none"/>
          </w:rPr>
          <w:t>Acórdão 3083/2020 Plenário</w:t>
        </w:r>
      </w:hyperlink>
      <w:r w:rsidRPr="00C65A4F" w:rsidR="0016227F">
        <w:rPr>
          <w:rFonts w:ascii="Times New Roman" w:hAnsi="Times New Roman"/>
          <w:b/>
          <w:sz w:val="22"/>
          <w:szCs w:val="22"/>
        </w:rPr>
        <w:t xml:space="preserve">, Representação, Relator Ministro Raimundo Carreiro.</w:t>
      </w:r>
    </w:p>
    <w:p>
      <w:r>
        <w:t/>
      </w:r>
    </w:p>
    <w:p>
      <w:r>
        <w:t/>
      </w:r>
    </w:p>
    <w:p>
      <w:pPr>
        <w:sectPr w:rsidRPr="00FB5DE9" w:rsidR="00336C4E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rPr>
          <w:sz w:val="22"/>
        </w:rPr>
        <w:lock w:val="contentLocked"/>
        <w:placeholder>
          <w:docPart w:val="D60A75F72E4149238277D75894B69C14"/>
        </w:placeholder>
        <w:showingPlcHdr/>
        <w:group/>
        <w:id w:val="188144247"/>
      </w:sdtPr>
      <w:sdtEndPr/>
      <w:sdtContent>
        <w:p w:rsidR="00BF0515" w:rsidP="00061BA7" w:rsidRDefault="00391CDF">
          <w:pPr>
            <w:widowControl w:val="false"/>
            <w:tabs>
              <w:tab w:val="left" w:pos="1500"/>
            </w:tabs>
            <w:autoSpaceDE w:val="false"/>
            <w:autoSpaceDN w:val="false"/>
            <w:ind w:left="22"/>
            <w:jc w:val="both"/>
            <w:rPr>
              <w:sz w:val="22"/>
            </w:rPr>
          </w:pPr>
          <w:r w:rsidRPr="00391CDF">
            <w:rPr>
              <w:rFonts w:ascii="Times New Roman" w:hAnsi="Times New Roman"/>
              <w:b/>
              <w:sz w:val="22"/>
              <w:szCs w:val="22"/>
            </w:rPr>
            <w:t>2. É irregular a exigência de que o atestado de capacidade técnico-operacional de empresa participante de licitação seja registrado ou averbado no Crea (art. 55 da Resolução-Confea 1.025/2009), cabendo tal exigência apenas para fins de qualificação técnico-profissional. Podem, no entanto, ser solicitadas as certidões de acervo técnico (CAT) ou as anotações e registros de responsabilidade técnica (ART/RRT) emitidas pelo conselho de fiscalização em nome dos profissionais vinculados aos atestados, como forma de conferir autenticidade e veracidade às informações constantes nos documentos emitidos em nome das licitantes.</w:t>
          </w:r>
        </w:p>
      </w:sdtContent>
    </w:sdt>
    <w:p w:rsidRPr="00E55126" w:rsidR="006F2E96" w:rsidP="00FA7B7E" w:rsidRDefault="002552F7">
      <w:pPr>
        <w:pStyle w:val="TCU-Epgrafe"/>
        <w:ind w:left="22"/>
        <w:rPr>
          <w:sz w:val="22"/>
          <w:szCs w:val="22"/>
        </w:rPr>
      </w:pPr>
      <w:r w:rsidRPr="00E55126">
        <w:rPr>
          <w:rFonts w:ascii="Times New Roman" w:hAnsi="Times New Roman"/>
          <w:sz w:val="22"/>
          <w:szCs w:val="22"/>
        </w:rPr>
        <w:t xml:space="preserve">Representação formulada ao TCU apontou possíveis irregularidades no Pregão Eletrônico 2/2019, promovido pela Universidade Federal do Rio Grande do Norte (UFRN), cujo objeto era o registro de preços visando à contratação de empresa para “</w:t>
      </w:r>
      <w:r w:rsidRPr="00E55126" w:rsidR="00E604A5">
        <w:rPr>
          <w:rFonts w:ascii="Times New Roman" w:hAnsi="Times New Roman"/>
          <w:i/>
          <w:sz w:val="22"/>
          <w:szCs w:val="22"/>
        </w:rPr>
        <w:t>prestação de serviços de manutenção, instalação e remoção de aparelhos de ar-condicionado para atender demandas da UFRN e entes partícipes</w:t>
      </w:r>
      <w:r w:rsidRPr="00E55126" w:rsidR="00E55126">
        <w:rPr>
          <w:rFonts w:ascii="Times New Roman" w:hAnsi="Times New Roman"/>
          <w:sz w:val="22"/>
          <w:szCs w:val="22"/>
        </w:rPr>
        <w:t xml:space="preserve">”, pelo período de doze meses. A representante assinalou que fora indevidamente inabilitada do certame porque “</w:t>
      </w:r>
      <w:r w:rsidRPr="00E55126" w:rsidR="00E604A5">
        <w:rPr>
          <w:rFonts w:ascii="Times New Roman" w:hAnsi="Times New Roman"/>
          <w:i/>
          <w:sz w:val="22"/>
          <w:szCs w:val="22"/>
        </w:rPr>
        <w:t xml:space="preserve">descumpriu o disposto no item 9.12.2 do Edital, posto que apresentou os atestados de capacidade técnica e as certidões de acervo técnico devidamente registrados no Conselho Regional de Engenharia e Agronomia – Crea, mas vinculados ao Técnico de Refrigeração e Ar Condicionado (...), sócio da empresa, e não ao profissional de nível superior, Engenheiro Mecânico (...), uma vez que apenas o primeiro havia demonstrado experiência e capacidade técnica para o quantitativo solicitado pelo Edital</w:t>
      </w:r>
      <w:r w:rsidRPr="00E55126" w:rsidR="00E55126">
        <w:rPr>
          <w:rFonts w:ascii="Times New Roman" w:hAnsi="Times New Roman"/>
          <w:sz w:val="22"/>
          <w:szCs w:val="22"/>
        </w:rPr>
        <w:t xml:space="preserve">”. A representante insurgiu-se, em essência, contra a aferição de sua documentação ante os itens 9.12.1 e 9.12.2 do edital, segundo os quais as empresas licitantes deveriam comprovar sua qualificação técnica por meio de: “</w:t>
      </w:r>
      <w:r w:rsidRPr="00E55126" w:rsidR="00E604A5">
        <w:rPr>
          <w:rFonts w:ascii="Times New Roman" w:hAnsi="Times New Roman"/>
          <w:i/>
          <w:sz w:val="22"/>
          <w:szCs w:val="22"/>
        </w:rPr>
        <w:t xml:space="preserve">9.12.1. Registro ou inscrição da empresa licitante no Conselho Regional de Engenharia e Agronomia – CREA, em plena validade; 9.12.2. Atestado(s) de capacidade técnica fornecidos por pessoa(s) jurídica(s) de direito público ou privado e devidamente registrados no CREA da região onde foram ou estão sendo prestados os serviços, acompanhados das respectivas Anotações de Responsabilidade Técnica (ART's) e da Certidão de Acervo Técnico (CAT), os quais comprovem: I. Que tenha executado ou esteja executando, satisfatoriamente, serviços de natureza compatível com o objeto desta licitação e em quantitativo mínimo de 30% (trinta por cento) dos itens de maior relevância relacionados abaixo: (...)</w:t>
      </w:r>
      <w:r w:rsidRPr="00E55126" w:rsidR="00E55126">
        <w:rPr>
          <w:rFonts w:ascii="Times New Roman" w:hAnsi="Times New Roman"/>
          <w:sz w:val="22"/>
          <w:szCs w:val="22"/>
        </w:rPr>
        <w:t xml:space="preserve">”. Em seu voto, com relação ao item 9.12.2 do edital, o relator destacou entendimento do Tribunal no sentido de ser irregular a exigência de que a atestação da capacidade técnico-operacional da empresa licitante seja registrada ou averbada junto ao Crea, pois o art. 55 da Resolução-Confea 1.025/2009 veda a emissão de CAT em nome de pessoa jurídica</w:t>
      </w:r>
      <w:r w:rsidR="00A23C12">
        <w:rPr>
          <w:rFonts w:ascii="Times New Roman" w:hAnsi="Times New Roman"/>
          <w:color w:val="0070C0"/>
          <w:sz w:val="22"/>
          <w:szCs w:val="22"/>
        </w:rPr>
        <w:t xml:space="preserve">, </w:t>
      </w:r>
      <w:r w:rsidRPr="00A23C12" w:rsidR="00A23C12">
        <w:rPr>
          <w:rFonts w:ascii="Times New Roman" w:hAnsi="Times New Roman"/>
          <w:sz w:val="22"/>
          <w:szCs w:val="22"/>
        </w:rPr>
        <w:t xml:space="preserve">conforme os Acórdãos </w:t>
      </w:r>
      <w:hyperlink w:history="true" w:anchor="/documento/acordao-completo/*/NUMACORDAO%253A7260%2520ANOACORDAO%253A2016%2520COLEGIADO%253A%2522Segunda%2520C%25C3%25A2mara%2522/DTRELEVANCIA%2520desc%252C%2520NUMACORDAOINT%2520desc/0/%2520?uuid=ca435920-365a-11eb-8b8b-195b286cbf1d" r:id="rId14">
        <w:r w:rsidRPr="00E55126" w:rsidR="004E4626">
          <w:rPr>
            <w:rStyle w:val="Hyperlink"/>
            <w:rFonts w:ascii="Times New Roman" w:hAnsi="Times New Roman"/>
            <w:color w:val="0563C1" w:themeColor="hyperlink"/>
            <w:sz w:val="22"/>
            <w:szCs w:val="22"/>
            <w:u w:val="none"/>
          </w:rPr>
          <w:t>7.260/2016-2ª Câmara</w:t>
        </w:r>
      </w:hyperlink>
      <w:r w:rsidRPr="00E55126" w:rsidR="004E4626">
        <w:rPr>
          <w:rFonts w:ascii="Times New Roman" w:hAnsi="Times New Roman"/>
          <w:sz w:val="22"/>
          <w:szCs w:val="22"/>
        </w:rPr>
        <w:t xml:space="preserve"> e </w:t>
      </w:r>
      <w:hyperlink w:history="true" w:anchor="/documento/acordao-completo/*/NUMACORDAO%253A1849%2520ANOACORDAO%253A2019%2520COLEGIADO%253A%2522Plen%25C3%25A1rio%2522/DTRELEVANCIA%2520desc%252C%2520NUMACORDAOINT%2520desc/0/%2520?uuid=ca435920-365a-11eb-8b8b-195b286cbf1d" r:id="rId14">
        <w:r w:rsidRPr="00E55126" w:rsidR="004E4626">
          <w:rPr>
            <w:rStyle w:val="Hyperlink"/>
            <w:rFonts w:ascii="Times New Roman" w:hAnsi="Times New Roman"/>
            <w:color w:val="0563C1" w:themeColor="hyperlink"/>
            <w:sz w:val="22"/>
            <w:szCs w:val="22"/>
            <w:u w:val="none"/>
          </w:rPr>
          <w:t>1.849/2019-Plenário</w:t>
        </w:r>
      </w:hyperlink>
      <w:r w:rsidRPr="00E55126" w:rsidR="00E604A5">
        <w:rPr>
          <w:rFonts w:ascii="Times New Roman" w:hAnsi="Times New Roman"/>
          <w:sz w:val="22"/>
          <w:szCs w:val="22"/>
        </w:rPr>
        <w:t xml:space="preserve">. Quanto à alegação de que a representante teria apresentado atestados de capacidade técnica e certidões de acervo técnico vinculadas ao técnico de refrigeração e ar condicionado, e não a profissional de nível superior, o relator ressaltou que o TCU já se manifestara no sentido de que tal exigência é cabível tão somente como forma de verificar a autenticidade e a veracidade das informações constantes nos atestados, nos termos do </w:t>
      </w:r>
      <w:hyperlink w:history="true" w:anchor="/documento/acordao-completo/*/NUMACORDAO%253A2326%2520ANOACORDAO%253A2019%2520COLEGIADO%253A%2522Plen%25C3%25A1rio%2522/DTRELEVANCIA%2520desc%252C%2520NUMACORDAOINT%2520desc/0/%2520?uuid=ca435920-365a-11eb-8b8b-195b286cbf1d" r:id="rId14">
        <w:r w:rsidRPr="00E55126" w:rsidR="00E604A5">
          <w:rPr>
            <w:rStyle w:val="Hyperlink"/>
            <w:rFonts w:ascii="Times New Roman" w:hAnsi="Times New Roman"/>
            <w:color w:val="0563C1" w:themeColor="hyperlink"/>
            <w:sz w:val="22"/>
            <w:szCs w:val="22"/>
            <w:u w:val="none"/>
          </w:rPr>
          <w:t>Acórdão 2.326/2019-Plenário</w:t>
        </w:r>
      </w:hyperlink>
      <w:r w:rsidRPr="00E55126" w:rsidR="00E604A5">
        <w:rPr>
          <w:rFonts w:ascii="Times New Roman" w:hAnsi="Times New Roman"/>
          <w:sz w:val="22"/>
          <w:szCs w:val="22"/>
        </w:rPr>
        <w:t xml:space="preserve">. Acrescentou ainda que a finalidade dessa exigência “</w:t>
      </w:r>
      <w:r w:rsidRPr="00E55126" w:rsidR="00E604A5">
        <w:rPr>
          <w:rFonts w:ascii="Times New Roman" w:hAnsi="Times New Roman"/>
          <w:i/>
          <w:sz w:val="22"/>
          <w:szCs w:val="22"/>
        </w:rPr>
        <w:t>não seria atestar a qualificação técnica dos profissionais, mas proporcionar uma forma rápida e segura para se circularizarem informações e conferir a fidedignidade das informações existentes nos atestados apresentados pelas empresas, não havendo, em princípio, razão para exigir que ART e CAT se referissem, necessariamente, a profissional engenheiro registrado no Crea, podendo também, no caso concreto, se referir a técnico registrado no CFT</w:t>
      </w:r>
      <w:r w:rsidRPr="00E55126" w:rsidR="00E55126">
        <w:rPr>
          <w:rFonts w:ascii="Times New Roman" w:hAnsi="Times New Roman"/>
          <w:sz w:val="22"/>
          <w:szCs w:val="22"/>
        </w:rPr>
        <w:t xml:space="preserve">”. E arrematou: “</w:t>
      </w:r>
      <w:r w:rsidRPr="00E55126" w:rsidR="00E604A5">
        <w:rPr>
          <w:rFonts w:ascii="Times New Roman" w:hAnsi="Times New Roman"/>
          <w:i/>
          <w:sz w:val="22"/>
          <w:szCs w:val="22"/>
        </w:rPr>
        <w:t>Com efeito, considerando-se as análises quanto a ambos os itens do edital, entendo ter sido indevida a inabilitação em tela, devendo-se expedir determinação para que a UFRN promova a anulação do ato de inabilitação em epígrafe</w:t>
      </w:r>
      <w:r w:rsidRPr="00E55126" w:rsidR="00E55126">
        <w:rPr>
          <w:rFonts w:ascii="Times New Roman" w:hAnsi="Times New Roman"/>
          <w:sz w:val="22"/>
          <w:szCs w:val="22"/>
        </w:rPr>
        <w:t xml:space="preserve">”. Assim sendo, nos termos da proposta do relator, o Plenário decidiu determinar à UFRN a anulação do ato que concluiu pela inabilitação da empresa representante no Pregão Eletrônico 2/2019, dadas as seguintes razões: I) “</w:t>
      </w:r>
      <w:r w:rsidRPr="00E55126" w:rsidR="00E604A5">
        <w:rPr>
          <w:rFonts w:ascii="Times New Roman" w:hAnsi="Times New Roman"/>
          <w:i/>
          <w:sz w:val="22"/>
          <w:szCs w:val="22"/>
        </w:rPr>
        <w:t>em relação ao item 9.12.1 do edital: considerando que a empresa conseguiu demonstrar ter cumprido a exigência por meio de diligência; considerando que a inabilitação da licitante se revestiu de formalismo exagerado, uma vez que o procedimento de diligência estava previsto no edital; considerando que, na condução de uma licitação pública, não pode a Administração perder de vista seu objetivo principal, que é obter a proposta mais vantajosa; restou caracterizada afronta ao art. 3º, caput, da Lei 8.666/93, ao disposto no item 9.5 do edital, ao princípio do formalismo moderado e à jurisprudência do TCU</w:t>
      </w:r>
      <w:r w:rsidRPr="00E55126" w:rsidR="00E55126">
        <w:rPr>
          <w:rFonts w:ascii="Times New Roman" w:hAnsi="Times New Roman"/>
          <w:sz w:val="22"/>
          <w:szCs w:val="22"/>
        </w:rPr>
        <w:t>”</w:t>
      </w:r>
      <w:r w:rsidRPr="00E55126" w:rsidR="00E604A5">
        <w:rPr>
          <w:rFonts w:ascii="Times New Roman" w:hAnsi="Times New Roman"/>
          <w:i/>
          <w:sz w:val="22"/>
          <w:szCs w:val="22"/>
        </w:rPr>
        <w:t xml:space="preserve">; </w:t>
      </w:r>
      <w:r w:rsidRPr="00E55126" w:rsidR="00AE04E5">
        <w:rPr>
          <w:rFonts w:ascii="Times New Roman" w:hAnsi="Times New Roman"/>
          <w:sz w:val="22"/>
          <w:szCs w:val="22"/>
        </w:rPr>
        <w:t xml:space="preserve">II) “</w:t>
      </w:r>
      <w:r w:rsidRPr="00E55126" w:rsidR="00E604A5">
        <w:rPr>
          <w:rFonts w:ascii="Times New Roman" w:hAnsi="Times New Roman"/>
          <w:i/>
          <w:sz w:val="22"/>
          <w:szCs w:val="22"/>
        </w:rPr>
        <w:t>em relação ao item 9.12.2 do edital: em razão de que a exigência da apresentação de atestados de capacidade técnica registrados no Crea não tem previsão legal no art. 30, § 3º, da Lei 8.666/1993 e afronta o disposto no art. 55, da Resolução-Confea 1.025/2009 e a jurisprudência do TCU</w:t>
      </w:r>
      <w:r w:rsidRPr="00E55126" w:rsidR="00E55126">
        <w:rPr>
          <w:rFonts w:ascii="Times New Roman" w:hAnsi="Times New Roman"/>
          <w:sz w:val="22"/>
          <w:szCs w:val="22"/>
        </w:rPr>
        <w:t>”.</w:t>
      </w:r>
    </w:p>
    <w:p w:rsidRPr="00FB5DE9" w:rsidR="00336C4E" w:rsidP="00BF0515" w:rsidRDefault="00166BC7" w14:paraId="229fafd5" w14:textId="229fafd5">
      <w:pPr>
        <w:widowControl w:val="false"/>
        <w:autoSpaceDE w:val="false"/>
        <w:autoSpaceDN w:val="false"/>
        <w:ind w:left="22"/>
        <w:jc w:val="both"/>
        <w15:collapsed w:val="false"/>
        <w:rPr>
          <w:b/>
          <w:sz w:val="22"/>
        </w:rPr>
      </w:pPr>
      <w:hyperlink w:history="true" r:id="rId15">
        <w:r w:rsidRPr="00C76877" w:rsidR="00684FC6">
          <w:rPr>
            <w:rStyle w:val="Hyperlink"/>
            <w:rFonts w:ascii="Times New Roman" w:hAnsi="Times New Roman"/>
            <w:b/>
            <w:sz w:val="22"/>
            <w:szCs w:val="22"/>
            <w:u w:val="none"/>
          </w:rPr>
          <w:t>Acórdão 3094/2020 Plenário</w:t>
        </w:r>
      </w:hyperlink>
      <w:r w:rsidRPr="00C65A4F" w:rsidR="0016227F">
        <w:rPr>
          <w:rFonts w:ascii="Times New Roman" w:hAnsi="Times New Roman"/>
          <w:b/>
          <w:sz w:val="22"/>
          <w:szCs w:val="22"/>
        </w:rPr>
        <w:t xml:space="preserve">, Representação, Relator Ministro-Substituto Augusto Sherman.</w:t>
      </w:r>
    </w:p>
    <w:p>
      <w:r>
        <w:t/>
      </w:r>
    </w:p>
    <w:p>
      <w:pPr>
        <w:sectPr w:rsidRPr="00FB5DE9" w:rsidR="00336C4E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626B08" w:rsidP="00626B08" w:rsidRDefault="00626B08" w14:paraId="ee526fa5" w14:textId="ee526fa5">
      <w:pPr>
        <w:pStyle w:val="enter-3pt"/>
        <w:tabs>
          <w:tab w:val="left" w:pos="2590"/>
        </w:tabs>
        <w:spacing w:after="200" w:line="276" w:lineRule="auto"/>
        <w:jc w:val="center"/>
        <w15:collapsed w:val="false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line from="0,.3pt" to="494.75pt,1.1pt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id="Conector reto 1" o:spid="_x0000_s1026" strokecolor="#00b050" strokeweight="2pt">
            <v:shadow on="t" color="black" opacity="24903f" offset="0,.55556mm" origin=",.5"/>
            <w10:wrap anchorx="margin"/>
          </v:line>
        </w:pict>
      </w:r>
    </w:p>
    <w:p w:rsidRPr="00626B08" w:rsidR="00C97756" w:rsidP="00626B08" w:rsidRDefault="00C97756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26B08">
        <w:rPr>
          <w:rFonts w:ascii="Arial" w:hAnsi="Arial" w:cs="Arial"/>
          <w:b/>
          <w:sz w:val="18"/>
          <w:szCs w:val="18"/>
          <w:u w:val="single"/>
        </w:rPr>
        <w:t>Elaboração: Diretoria de Jurisprudência - Secretaria das Sessões</w:t>
      </w:r>
    </w:p>
    <w:p w:rsidR="00C03330" w:rsidP="002678F1" w:rsidRDefault="00C97756">
      <w:pPr>
        <w:spacing w:after="200" w:line="276" w:lineRule="auto"/>
        <w:jc w:val="center"/>
        <w:rPr>
          <w:rStyle w:val="Hyperlink"/>
          <w:rFonts w:ascii="Arial" w:hAnsi="Arial" w:cs="Arial"/>
          <w:i/>
          <w:sz w:val="18"/>
          <w:szCs w:val="18"/>
        </w:rPr>
      </w:pPr>
      <w:r w:rsidRPr="00626B08">
        <w:rPr>
          <w:rFonts w:ascii="Arial" w:hAnsi="Arial" w:cs="Arial"/>
          <w:b/>
          <w:sz w:val="18"/>
          <w:szCs w:val="18"/>
        </w:rPr>
        <w:t>Contato</w:t>
      </w:r>
      <w:r w:rsidRPr="008C7BE6">
        <w:rPr>
          <w:rFonts w:ascii="Arial" w:hAnsi="Arial" w:cs="Arial"/>
          <w:b/>
          <w:i/>
          <w:sz w:val="18"/>
          <w:szCs w:val="18"/>
        </w:rPr>
        <w:t xml:space="preserve">: </w:t>
      </w:r>
      <w:hyperlink w:history="true" r:id="rId16">
        <w:r w:rsidR="00626B08">
          <w:rPr>
            <w:rStyle w:val="Hyperlink"/>
            <w:rFonts w:ascii="Arial" w:hAnsi="Arial" w:cs="Arial"/>
            <w:i/>
            <w:sz w:val="18"/>
            <w:szCs w:val="18"/>
          </w:rPr>
          <w:t>jurisprudenciafaleconosco@tcu.gov.br</w:t>
        </w:r>
      </w:hyperlink>
    </w:p>
    <w:p w:rsidR="00626B08" w:rsidP="002678F1" w:rsidRDefault="00626B08">
      <w:pPr>
        <w:spacing w:after="200" w:line="276" w:lineRule="auto"/>
        <w:jc w:val="center"/>
        <w:rPr>
          <w:rStyle w:val="Hyperlink"/>
          <w:rFonts w:ascii="Arial" w:hAnsi="Arial" w:cs="Arial"/>
          <w:i/>
          <w:sz w:val="18"/>
          <w:szCs w:val="18"/>
        </w:rPr>
      </w:pPr>
    </w:p>
    <w:p w:rsidRPr="00AA6697" w:rsidR="00626B08" w:rsidP="002678F1" w:rsidRDefault="003D689A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3629660" cy="1151890"/>
            <wp:effectExtent l="0" t="0" r="8890" b="0"/>
            <wp:docPr id="4" name="Imagem 4">
              <a:hlinkClick r:id="rId17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Imagem 4">
                      <a:hlinkClick r:id="rId17"/>
                    </pic:cNvPr>
                    <pic:cNvPicPr>
                      <a:picLocks noChangeAspect="true" noChangeArrowheads="true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ns1="http://schemas.microsoft.com/office/2006/xmlPackage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8="urn:schemas-microsoft-com:office:office" xmlns:ns19="urn:schemas-microsoft-com:vml" xmlns:ns2="http://schemas.openxmlformats.org/officeDocument/2006/relationships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openxmlformats.org/officeDocument/2006/math" xmlns:ns5="http://schemas.microsoft.com/office/word/2012/wordml" xmlns:ns6="http://schemas.microsoft.com/office/word/2010/wordml" xmlns:ns7="http://schemas.openxmlformats.org/markup-compatibility/2006" xmlns:ns8="http://schemas.openxmlformats.org/drawingml/2006/wordprocessingDrawing" xmlns:ns9="http://schemas.openxmlformats.org/drawingml/2006/main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AA6697" w:rsidR="00626B08" w:rsidSect="00E41618">
      <w:footerReference w:type="default" r:id="rId18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0">
    <w:p w:rsidR="00ED0AF9" w:rsidP="00ED5179" w:rsidRDefault="00ED0AF9">
      <w:r>
        <w:separator/>
      </w:r>
    </w:p>
  </w:endnote>
  <w:endnote w:type="continuationSeparator" w:id="1">
    <w:p w:rsidR="00ED0AF9" w:rsidP="00ED5179" w:rsidRDefault="00ED0AF9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>
    <w:pPr>
      <w:pStyle w:val="Rodap"/>
      <w:jc w:val="right"/>
    </w:pPr>
    <w:r>
      <w:fldChar w:fldCharType="begin"/>
      <w:instrText xml:space="preserve"> PAGE   \* MERGEFORMAT </w:instrText>
      <w:fldChar w:fldCharType="separate"/>
    </w:r>
    <w:r w:rsidR="00C15B9A">
      <w:rPr>
        <w:noProof/>
      </w:rPr>
      <w:t>1</w:t>
    </w:r>
    <w:r>
      <w:fldChar w:fldCharType="end"/>
    </w:r>
  </w:p>
  <w:p w:rsidR="009C1CD2" w:rsidP="00D702D9" w:rsidRDefault="009C1CD2">
    <w:pPr>
      <w:pStyle w:val="Rodap"/>
    </w:pPr>
  </w:p>
</w:ftr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>
    <w:pPr>
      <w:pStyle w:val="Rodap"/>
      <w:jc w:val="right"/>
    </w:pPr>
    <w:r>
      <w:fldChar w:fldCharType="begin"/>
      <w:instrText xml:space="preserve"> PAGE   \* MERGEFORMAT </w:instrText>
      <w:fldChar w:fldCharType="separate"/>
    </w:r>
    <w:r w:rsidR="00C75D56">
      <w:rPr>
        <w:noProof/>
      </w:rPr>
      <w:t>1</w:t>
    </w:r>
    <w:r>
      <w:fldChar w:fldCharType="end"/>
    </w:r>
  </w:p>
  <w:p w:rsidR="009C1CD2" w:rsidP="00D702D9" w:rsidRDefault="009C1CD2">
    <w:pPr>
      <w:pStyle w:val="Rodap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A6697" w:rsidRDefault="00AA6697" w14:paraId="1244603B" w14:textId="77777777">
    <w:pPr>
      <w:pStyle w:val="Rodap"/>
      <w:jc w:val="right"/>
    </w:pPr>
    <w:r>
      <w:fldChar w:fldCharType="begin"/>
      <w:instrText xml:space="preserve"> PAGE   \* MERGEFORMAT </w:instrText>
      <w:fldChar w:fldCharType="separate"/>
    </w:r>
    <w:r w:rsidR="00CC7DEC">
      <w:rPr>
        <w:noProof/>
      </w:rPr>
      <w:t>1</w:t>
    </w:r>
    <w:r>
      <w:fldChar w:fldCharType="end"/>
    </w:r>
  </w:p>
  <w:p w:rsidR="00AA6697" w:rsidP="00AA6697" w:rsidRDefault="00AA6697" w14:paraId="642C80F0" w14:textId="77777777">
    <w:pPr>
      <w:pStyle w:val="Rodap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0">
    <w:p w:rsidR="00ED0AF9" w:rsidP="00ED5179" w:rsidRDefault="00ED0AF9">
      <w:r>
        <w:separator/>
      </w:r>
    </w:p>
  </w:footnote>
  <w:footnote w:type="continuationSeparator" w:id="1">
    <w:p w:rsidR="00ED0AF9" w:rsidP="00ED5179" w:rsidRDefault="00ED0AF9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35499A" w:rsidR="00842D06" w:rsidP="00BD7DE7" w:rsidRDefault="00EF3CF6">
    <w:pPr>
      <w:pStyle w:val="Cabealho"/>
      <w:spacing w:line="120" w:lineRule="auto"/>
      <w:contextualSpacing/>
    </w:pPr>
    <w:r w:rsidRPr="000435E6">
      <w:rPr>
        <w:noProof/>
        <w:sz w:val="10"/>
        <w:lang w:eastAsia="pt-BR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page">
            <wp:align>center</wp:align>
          </wp:positionH>
          <wp:positionV relativeFrom="paragraph">
            <wp:posOffset>-452154</wp:posOffset>
          </wp:positionV>
          <wp:extent cx="7570470" cy="1271905"/>
          <wp:effectExtent l="0" t="0" r="0" b="4445"/>
          <wp:wrapSquare wrapText="bothSides"/>
          <wp:docPr id="1" name="Imagem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Cabeçalhos_Cabeçalho 3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ns1="http://schemas.openxmlformats.org/wordprocessingml/2006/main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8="urn:schemas-microsoft-com:office:office" xmlns:ns19="urn:schemas-microsoft-com:vml" xmlns:ns2="http://schemas.openxmlformats.org/officeDocument/2006/relationships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openxmlformats.org/officeDocument/2006/math" xmlns:ns5="http://schemas.microsoft.com/office/word/2012/wordml" xmlns:ns6="http://schemas.microsoft.com/office/word/2010/wordml" xmlns:ns7="http://schemas.openxmlformats.org/markup-compatibility/2006" xmlns:ns8="http://schemas.openxmlformats.org/drawingml/2006/wordprocessingDrawing" xmlns:ns9="http://schemas.openxmlformats.org/drawingml/2006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F2444"/>
    <w:rsid w:val="00107C47"/>
    <w:rsid w:val="001367C5"/>
    <w:rsid w:val="0013773E"/>
    <w:rsid w:val="00167319"/>
    <w:rsid w:val="00171F4E"/>
    <w:rsid w:val="00177D47"/>
    <w:rsid w:val="001A0F92"/>
    <w:rsid w:val="001A4CB9"/>
    <w:rsid w:val="001D00C5"/>
    <w:rsid w:val="001D00FE"/>
    <w:rsid w:val="001D6FAA"/>
    <w:rsid w:val="001F4538"/>
    <w:rsid w:val="002046AF"/>
    <w:rsid w:val="0020622A"/>
    <w:rsid w:val="00226708"/>
    <w:rsid w:val="00234034"/>
    <w:rsid w:val="002466B7"/>
    <w:rsid w:val="00256B0C"/>
    <w:rsid w:val="00284675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64318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56EA6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72E3F"/>
    <w:rsid w:val="005A1B4B"/>
    <w:rsid w:val="005A2E89"/>
    <w:rsid w:val="006006C2"/>
    <w:rsid w:val="00632AA6"/>
    <w:rsid w:val="006539EA"/>
    <w:rsid w:val="006779C0"/>
    <w:rsid w:val="00686128"/>
    <w:rsid w:val="006B4456"/>
    <w:rsid w:val="006F1289"/>
    <w:rsid w:val="006F1D2A"/>
    <w:rsid w:val="00703C89"/>
    <w:rsid w:val="00713D90"/>
    <w:rsid w:val="00732A0F"/>
    <w:rsid w:val="007404E0"/>
    <w:rsid w:val="00781DF3"/>
    <w:rsid w:val="00791535"/>
    <w:rsid w:val="007A008F"/>
    <w:rsid w:val="007A6ECE"/>
    <w:rsid w:val="007B032E"/>
    <w:rsid w:val="007C2E25"/>
    <w:rsid w:val="007E09D4"/>
    <w:rsid w:val="008048F0"/>
    <w:rsid w:val="00815DD9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3A88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E41D1"/>
    <w:rsid w:val="009E6D0C"/>
    <w:rsid w:val="00A205EC"/>
    <w:rsid w:val="00A22D1E"/>
    <w:rsid w:val="00A306A8"/>
    <w:rsid w:val="00A83C33"/>
    <w:rsid w:val="00A9242D"/>
    <w:rsid w:val="00AA3E05"/>
    <w:rsid w:val="00AA4BD9"/>
    <w:rsid w:val="00AA6A32"/>
    <w:rsid w:val="00AB7BF8"/>
    <w:rsid w:val="00AC6714"/>
    <w:rsid w:val="00AD3C90"/>
    <w:rsid w:val="00AF1E2C"/>
    <w:rsid w:val="00B12E89"/>
    <w:rsid w:val="00B17FDA"/>
    <w:rsid w:val="00B36CEA"/>
    <w:rsid w:val="00B41043"/>
    <w:rsid w:val="00B526D3"/>
    <w:rsid w:val="00B85E18"/>
    <w:rsid w:val="00B91CBF"/>
    <w:rsid w:val="00BD1D53"/>
    <w:rsid w:val="00BD3B05"/>
    <w:rsid w:val="00BD4049"/>
    <w:rsid w:val="00BD55F7"/>
    <w:rsid w:val="00BD7DE7"/>
    <w:rsid w:val="00BE719D"/>
    <w:rsid w:val="00BF2730"/>
    <w:rsid w:val="00BF581A"/>
    <w:rsid w:val="00C013E3"/>
    <w:rsid w:val="00C04BE2"/>
    <w:rsid w:val="00C16F38"/>
    <w:rsid w:val="00C23E2C"/>
    <w:rsid w:val="00C35594"/>
    <w:rsid w:val="00C35B48"/>
    <w:rsid w:val="00C43825"/>
    <w:rsid w:val="00C473AD"/>
    <w:rsid w:val="00C714EE"/>
    <w:rsid w:val="00C72771"/>
    <w:rsid w:val="00C75D56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90600"/>
    <w:rsid w:val="00E93506"/>
    <w:rsid w:val="00EA61D7"/>
    <w:rsid w:val="00ED0AF9"/>
    <w:rsid w:val="00ED29C3"/>
    <w:rsid w:val="00ED5179"/>
    <w:rsid w:val="00EE70E9"/>
    <w:rsid w:val="00EF3CF6"/>
    <w:rsid w:val="00F0239A"/>
    <w:rsid w:val="00F05C62"/>
    <w:rsid w:val="00F26DD0"/>
    <w:rsid w:val="00F819A7"/>
    <w:rsid w:val="00F8426B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5:docId w15:val="{260B4C58-9F42-42E0-8E6B-4F7277700DC5}"/>
  <w14:defaultImageDpi w14:val="0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eastAsia="Times New Roman" w:ascii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caption" w:uiPriority="35" w:semiHidden="true" w:unhideWhenUsed="true" w:qFormat="true"/>
    <w:lsdException w:name="List Number" w:semiHidden="true" w:unhideWhenUsed="true"/>
    <w:lsdException w:name="List 4" w:semiHidden="true" w:unhideWhenUsed="true"/>
    <w:lsdException w:name="List 5" w:semiHidden="true" w:unhideWhenUsed="true"/>
    <w:lsdException w:name="Title" w:uiPriority="10" w:qFormat="true"/>
    <w:lsdException w:name="Default Paragraph Font" w:uiPriority="1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Strong" w:uiPriority="22" w:qFormat="true"/>
    <w:lsdException w:name="Emphasis" w:uiPriority="20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hAnsiTheme="majorHAnsi" w:eastAsiaTheme="majorEastAsia"/>
      <w:color w:val="272727" w:themeColor="text1" w:themeTint="D8"/>
      <w:sz w:val="21"/>
      <w:szCs w:val="21"/>
    </w:rPr>
  </w:style>
  <w:style w:type="character" w:styleId="Fontepargpadro" w:default="true">
    <w:name w:val="Default Paragraph Font"/>
    <w:uiPriority w:val="1"/>
    <w:semiHidden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tulo1Char" w:customStyle="true">
    <w:name w:val="Título 1 Char"/>
    <w:basedOn w:val="Fontepargpadro"/>
    <w:link w:val="Ttulo1"/>
    <w:uiPriority w:val="9"/>
    <w:locked/>
    <w:rsid w:val="00BF2730"/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</w:rPr>
  </w:style>
  <w:style w:type="character" w:styleId="Ttulo8Char" w:customStyle="true">
    <w:name w:val="Título 8 Char"/>
    <w:basedOn w:val="Fontepargpadro"/>
    <w:link w:val="Ttulo8"/>
    <w:uiPriority w:val="9"/>
    <w:semiHidden/>
    <w:locked/>
    <w:rsid w:val="0035499A"/>
    <w:rPr>
      <w:rFonts w:cs="Times New Roman" w:asciiTheme="majorHAnsi" w:hAnsiTheme="majorHAnsi" w:eastAsiaTheme="majorEastAsia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CabealhoChar" w:customStyle="true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RodapChar" w:customStyle="true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styleId="TextodebaloChar" w:customStyle="true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styleId="TCU-Epgrafe" w:customStyle="tru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color="4F81BD" w:themeColor="accent1" w:sz="8" w:space="4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styleId="TtuloChar" w:customStyle="true">
    <w:name w:val="Título Char"/>
    <w:basedOn w:val="Fontepargpadro"/>
    <w:link w:val="Ttulo"/>
    <w:uiPriority w:val="10"/>
    <w:locked/>
    <w:rsid w:val="00BF2730"/>
    <w:rPr>
      <w:rFonts w:ascii="Times New Roman" w:hAnsi="Times New Roman" w:cs="Times New Roman"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styleId="SubttuloChar" w:customStyle="true">
    <w:name w:val="Subtítulo Char"/>
    <w:basedOn w:val="Fontepargpadro"/>
    <w:link w:val="Subttulo"/>
    <w:uiPriority w:val="11"/>
    <w:locked/>
    <w:rsid w:val="00BF2730"/>
    <w:rPr>
      <w:rFonts w:ascii="Times New Roman" w:hAnsi="Times New Roman" w:cs="Times New Roman" w:eastAsiaTheme="majorEastAsia"/>
      <w:i/>
      <w:iCs/>
      <w:color w:val="4F81BD" w:themeColor="accent1"/>
      <w:spacing w:val="15"/>
      <w:sz w:val="24"/>
      <w:szCs w:val="24"/>
    </w:rPr>
  </w:style>
  <w:style w:type="paragraph" w:styleId="TCU-Centralizado" w:customStyle="true">
    <w:name w:val="TCU - Centralizado"/>
    <w:basedOn w:val="Normal"/>
    <w:qFormat/>
    <w:rsid w:val="009E41D1"/>
    <w:pPr>
      <w:jc w:val="center"/>
    </w:pPr>
    <w:rPr>
      <w:szCs w:val="24"/>
    </w:rPr>
  </w:style>
  <w:style w:type="paragraph" w:styleId="TCU-RelVoto-1" w:customStyle="true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styleId="TCU-Ac-item9-" w:customStyle="true">
    <w:name w:val="TCU - Ac - item 9 - §§"/>
    <w:basedOn w:val="TCU-RelVoto-1"/>
    <w:qFormat/>
    <w:rsid w:val="009E41D1"/>
    <w:pPr>
      <w:spacing w:after="0"/>
    </w:pPr>
  </w:style>
  <w:style w:type="paragraph" w:styleId="TCU-RelVoto-demais" w:customStyle="true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styleId="TCU-Ac-itens1a8" w:customStyle="true">
    <w:name w:val="TCU -   Ac - itens 1 a 8"/>
    <w:basedOn w:val="TCU-RelVoto-demais"/>
    <w:qFormat/>
    <w:rsid w:val="009E41D1"/>
    <w:pPr>
      <w:spacing w:after="0"/>
    </w:pPr>
  </w:style>
  <w:style w:type="paragraph" w:styleId="TCU-Sumrio" w:customStyle="true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styleId="TCU-Transcrio" w:customStyle="true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styleId="TCU-Ac-item9-1Linha" w:customStyle="true">
    <w:name w:val="TCU -  Ac - item 9 - 1ª Linha"/>
    <w:basedOn w:val="TCU-RelVoto-demais"/>
    <w:qFormat/>
    <w:rsid w:val="0013773E"/>
  </w:style>
  <w:style w:type="paragraph" w:styleId="Default" w:customStyle="true">
    <w:name w:val="Default"/>
    <w:rsid w:val="004A2D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styleId="CitaoChar" w:customStyle="true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styleId="enter-3pt" w:customStyle="true">
    <w:name w:val="enter-3pt"/>
    <w:basedOn w:val="Normal"/>
    <w:rsid w:val="0048449D"/>
    <w:pPr>
      <w:autoSpaceDE w:val="false"/>
      <w:autoSpaceDN w:val="false"/>
      <w:adjustRightInd w:val="false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styleId="Corpodetexto2Char" w:customStyle="true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2871"/>
    <w:rPr>
      <w:color w:val="808080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1078454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1"/><Relationship Target="footnotes.xml" Type="http://schemas.openxmlformats.org/officeDocument/2006/relationships/footnotes" Id="rId2"/><Relationship Target="endnotes.xml" Type="http://schemas.openxmlformats.org/officeDocument/2006/relationships/endnotes" Id="rId3"/><Relationship Target="webSettings.xml" Type="http://schemas.openxmlformats.org/officeDocument/2006/relationships/webSettings" Id="rId4"/><Relationship Target="theme/theme1.xml" Type="http://schemas.openxmlformats.org/officeDocument/2006/relationships/theme" Id="rId5"/><Relationship Target="fontTable.xml" Type="http://schemas.openxmlformats.org/officeDocument/2006/relationships/fontTable" Id="rId6"/><Relationship Target="styles.xml" Type="http://schemas.openxmlformats.org/officeDocument/2006/relationships/styles" Id="rId7"/><Relationship Target="header1.xml" Type="http://schemas.openxmlformats.org/officeDocument/2006/relationships/header" Id="rId8"/><Relationship Target="footer1.xml" Type="http://schemas.openxmlformats.org/officeDocument/2006/relationships/footer" Id="rId9"/><Relationship Target="../customXml/item1.xml" Type="http://schemas.openxmlformats.org/officeDocument/2006/relationships/customXml" Id="rId10"/><Relationship Target="footer.xml" Type="http://schemas.openxmlformats.org/officeDocument/2006/relationships/footer" Id="rId11"/><Relationship Target="glossary/document.xml" Type="http://schemas.openxmlformats.org/officeDocument/2006/relationships/glossaryDocument" Id="rId12"/><Relationship TargetMode="External" Target="https://contas.tcu.gov.br/pesquisaJurisprudencia/#/detalhamento/11/%252a/NUMACORDAO%253A3083%2520ANOACORDAO%253A2020%2520COLEGIADO%253A%2522Plen%25C3%25A1rio%2522/DTRELEVANCIA%2520desc/false/1" Type="http://schemas.openxmlformats.org/officeDocument/2006/relationships/hyperlink" Id="rId13"/><Relationship TargetMode="External" Target="https://pesquisa.apps.tcu.gov.br/" Type="http://schemas.openxmlformats.org/officeDocument/2006/relationships/hyperlink" Id="rId14"/><Relationship TargetMode="External" Target="https://contas.tcu.gov.br/pesquisaJurisprudencia/#/detalhamento/11/%252a/NUMACORDAO%253A3094%2520ANOACORDAO%253A2020%2520COLEGIADO%253A%2522Plen%25C3%25A1rio%2522/DTRELEVANCIA%2520desc/false/1" Type="http://schemas.openxmlformats.org/officeDocument/2006/relationships/hyperlink" Id="rId15"/><Relationship TargetMode="External" Target="mailto:jurisprudenciafaleconosco@tcu.gov.br" Type="http://schemas.openxmlformats.org/officeDocument/2006/relationships/hyperlink" Id="rId16"/><Relationship TargetMode="External" Target="https://portal.tcu.gov.br/coopera/" Type="http://schemas.openxmlformats.org/officeDocument/2006/relationships/hyperlink" Id="rId17"/><Relationship Target="footer2.xml" Type="http://schemas.openxmlformats.org/officeDocument/2006/relationships/footer" Id="rId18"/><Relationship Target="media/image.png" Type="http://schemas.openxmlformats.org/officeDocument/2006/relationships/image" Id="rId1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F9EDB-2101-4088-9111-23B04E72DF10}"/>
      </w:docPartPr>
      <w:docPartBody>
        <w:p w:rsidR="00A7408C" w:rsidRDefault="00403AF8">
          <w:r w:rsidRPr="00FF63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0A75F72E4149238277D75894B69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6672E-6C16-4F78-BE57-A0C847416474}"/>
      </w:docPartPr>
      <w:docPartBody>
        <w:p w:rsidR="00854B75" w:rsidP="00591297" w:rsidRDefault="00591297">
          <w:pPr>
            <w:pStyle w:val="D60A75F72E4149238277D75894B69C14"/>
          </w:pPr>
          <w:r w:rsidRPr="00391CDF">
            <w:rPr>
              <w:b/>
              <w:sz w:val="22"/>
            </w:rPr>
            <w:t>${textoEnunciado}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F8"/>
    <w:rsid w:val="00120C73"/>
    <w:rsid w:val="002266E8"/>
    <w:rsid w:val="00403AF8"/>
    <w:rsid w:val="004750FA"/>
    <w:rsid w:val="00591297"/>
    <w:rsid w:val="006D509C"/>
    <w:rsid w:val="00765B0A"/>
    <w:rsid w:val="00780DD7"/>
    <w:rsid w:val="00854B75"/>
    <w:rsid w:val="008D7DCD"/>
    <w:rsid w:val="008F7250"/>
    <w:rsid w:val="00A7408C"/>
    <w:rsid w:val="00C70EF6"/>
    <w:rsid w:val="00D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Fontepargpadro" w:default="true">
    <w:name w:val="Default Paragraph Font"/>
    <w:uiPriority w:val="1"/>
    <w:semiHidden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3AF8"/>
    <w:rPr>
      <w:color w:val="808080"/>
    </w:rPr>
  </w:style>
  <w:style w:type="paragraph" w:styleId="D60A75F72E4149238277D75894B69C14" w:customStyle="true">
    <w:name w:val="D60A75F72E4149238277D75894B69C14"/>
    <w:rsid w:val="00591297"/>
    <w:pPr>
      <w:spacing w:after="0" w:line="240" w:lineRule="auto"/>
    </w:pPr>
    <w:rPr>
      <w:rFonts w:ascii="Times New Roman" w:hAnsi="Times New Roman" w:eastAsia="Times New Roman" w:cs="Times New Roman"/>
      <w:sz w:val="24"/>
      <w:lang w:eastAsia="en-US"/>
    </w:rPr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397EE6-6DDF-424F-B1E2-031837736D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TCU</properties:Company>
  <properties:Pages>1</properties:Pages>
  <properties:Words>119</properties:Words>
  <properties:Characters>644</properties:Characters>
  <properties:Lines>5</properties:Lines>
  <properties:Paragraphs>1</properties:Paragraphs>
  <properties:TotalTime>703</properties:TotalTime>
  <properties:ScaleCrop>false</properties:ScaleCrop>
  <properties:HeadingPairs>
    <vt:vector baseType="variant" size="2">
      <vt:variant>
        <vt:lpstr>Título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2015-01-04T00:59:00Z</dcterms:created>
  <dc:creator>Daniela Duarte do Nascimento</dc:creator>
  <dc:description/>
  <cp:keywords/>
  <cp:lastModifiedBy>OTÁVIO SANCHES GOLÇALVES</cp:lastModifiedBy>
  <dcterms:modified xmlns:xsi="http://www.w3.org/2001/XMLSchema-instance" xsi:type="dcterms:W3CDTF">2019-07-12T17:30:00Z</dcterms:modified>
  <cp:revision>33</cp:revision>
  <dc:subject/>
  <dc:title/>
</cp:coreProperties>
</file>