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6E2" w:rsidRPr="003924B7" w:rsidRDefault="005916E2" w:rsidP="005916E2">
      <w:pPr>
        <w:tabs>
          <w:tab w:val="left" w:pos="5103"/>
        </w:tabs>
        <w:spacing w:before="60"/>
        <w:ind w:firstLine="5103"/>
        <w:jc w:val="both"/>
        <w:rPr>
          <w:b/>
          <w:szCs w:val="24"/>
        </w:rPr>
      </w:pPr>
      <w:r w:rsidRPr="003924B7">
        <w:rPr>
          <w:b/>
          <w:szCs w:val="24"/>
        </w:rPr>
        <w:t xml:space="preserve">TC </w:t>
      </w:r>
      <w:r w:rsidR="003924B7" w:rsidRPr="003924B7">
        <w:rPr>
          <w:b/>
        </w:rPr>
        <w:t>004.674/2017-0</w:t>
      </w:r>
    </w:p>
    <w:p w:rsidR="005916E2" w:rsidRPr="003924B7" w:rsidRDefault="005916E2" w:rsidP="005916E2">
      <w:pPr>
        <w:tabs>
          <w:tab w:val="left" w:pos="5103"/>
        </w:tabs>
        <w:spacing w:before="60"/>
        <w:ind w:left="5103"/>
        <w:jc w:val="both"/>
        <w:rPr>
          <w:szCs w:val="24"/>
        </w:rPr>
      </w:pPr>
      <w:r w:rsidRPr="003924B7">
        <w:rPr>
          <w:b/>
          <w:szCs w:val="24"/>
        </w:rPr>
        <w:t xml:space="preserve">Tipo: </w:t>
      </w:r>
      <w:r w:rsidR="003924B7" w:rsidRPr="003924B7">
        <w:rPr>
          <w:szCs w:val="24"/>
        </w:rPr>
        <w:t>tomada de contas especial</w:t>
      </w:r>
    </w:p>
    <w:p w:rsidR="005916E2" w:rsidRPr="003924B7" w:rsidRDefault="005916E2" w:rsidP="005916E2">
      <w:pPr>
        <w:tabs>
          <w:tab w:val="left" w:pos="5103"/>
        </w:tabs>
        <w:spacing w:before="60"/>
        <w:ind w:left="5103"/>
        <w:jc w:val="both"/>
        <w:rPr>
          <w:szCs w:val="24"/>
        </w:rPr>
      </w:pPr>
      <w:r w:rsidRPr="003924B7">
        <w:rPr>
          <w:b/>
          <w:szCs w:val="24"/>
        </w:rPr>
        <w:t xml:space="preserve">Unidade jurisdicionada: </w:t>
      </w:r>
      <w:r w:rsidR="003924B7" w:rsidRPr="003924B7">
        <w:t>Universidade Federal do Paraná (UFPR)</w:t>
      </w:r>
    </w:p>
    <w:p w:rsidR="005916E2" w:rsidRPr="003924B7" w:rsidRDefault="005916E2" w:rsidP="005916E2">
      <w:pPr>
        <w:tabs>
          <w:tab w:val="left" w:pos="5103"/>
        </w:tabs>
        <w:spacing w:before="60"/>
        <w:ind w:left="5103"/>
        <w:jc w:val="both"/>
        <w:rPr>
          <w:szCs w:val="24"/>
        </w:rPr>
      </w:pPr>
      <w:r w:rsidRPr="003924B7">
        <w:rPr>
          <w:b/>
          <w:szCs w:val="24"/>
        </w:rPr>
        <w:t>Responsáveis:</w:t>
      </w:r>
      <w:r w:rsidRPr="003924B7">
        <w:rPr>
          <w:szCs w:val="24"/>
        </w:rPr>
        <w:t xml:space="preserve"> </w:t>
      </w:r>
      <w:r w:rsidR="003924B7" w:rsidRPr="003924B7">
        <w:t xml:space="preserve">Maria Alba de Amorim Suarez (CPF 176.846.921-00), Conceição Abadia de Abreu Mendonça (CPF 203.022.071-04), Graciela Inês </w:t>
      </w:r>
      <w:proofErr w:type="spellStart"/>
      <w:r w:rsidR="003924B7" w:rsidRPr="003924B7">
        <w:t>Bolzon</w:t>
      </w:r>
      <w:proofErr w:type="spellEnd"/>
      <w:r w:rsidR="003924B7" w:rsidRPr="003924B7">
        <w:t xml:space="preserve"> de Muniz (CPF 674.273.759-04), Edilson Sergio Silveira (CPF 141.231.638-31), Júlio Cezar Martins (CPF 583.997.397-15), Lúcia Regina Assumpção </w:t>
      </w:r>
      <w:proofErr w:type="spellStart"/>
      <w:r w:rsidR="003924B7" w:rsidRPr="003924B7">
        <w:t>Montanhini</w:t>
      </w:r>
      <w:proofErr w:type="spellEnd"/>
      <w:r w:rsidR="003924B7" w:rsidRPr="003924B7">
        <w:t xml:space="preserve"> (CPF 313.336.059-00), Guiomar </w:t>
      </w:r>
      <w:proofErr w:type="spellStart"/>
      <w:r w:rsidR="003924B7" w:rsidRPr="003924B7">
        <w:t>Jacobs</w:t>
      </w:r>
      <w:proofErr w:type="spellEnd"/>
      <w:r w:rsidR="003924B7" w:rsidRPr="003924B7">
        <w:t xml:space="preserve"> (CPF 392.074.209-53), André Santos de Oliveira (CPF 029.849.089-70), Denise Maria </w:t>
      </w:r>
      <w:proofErr w:type="spellStart"/>
      <w:r w:rsidR="003924B7" w:rsidRPr="003924B7">
        <w:t>Mansani</w:t>
      </w:r>
      <w:proofErr w:type="spellEnd"/>
      <w:r w:rsidR="003924B7" w:rsidRPr="003924B7">
        <w:t xml:space="preserve"> Wolff (CPF 541.914.599-53) e Josiane de Paula Ribeiro (CPF 539.125.199- 00)</w:t>
      </w:r>
    </w:p>
    <w:p w:rsidR="005916E2" w:rsidRPr="003924B7" w:rsidRDefault="005916E2" w:rsidP="005916E2">
      <w:pPr>
        <w:tabs>
          <w:tab w:val="left" w:pos="5103"/>
        </w:tabs>
        <w:spacing w:before="60"/>
        <w:ind w:left="5103"/>
        <w:jc w:val="both"/>
        <w:rPr>
          <w:szCs w:val="24"/>
        </w:rPr>
      </w:pPr>
      <w:r w:rsidRPr="003924B7">
        <w:rPr>
          <w:b/>
          <w:szCs w:val="24"/>
        </w:rPr>
        <w:t>Procurador ou advogado</w:t>
      </w:r>
      <w:r w:rsidRPr="003924B7">
        <w:rPr>
          <w:szCs w:val="24"/>
        </w:rPr>
        <w:t xml:space="preserve">: </w:t>
      </w:r>
      <w:r w:rsidR="003924B7" w:rsidRPr="003924B7">
        <w:rPr>
          <w:szCs w:val="24"/>
        </w:rPr>
        <w:t xml:space="preserve">Ana Cristina Aguilar Viana (OAB 68457/PR) e outros, </w:t>
      </w:r>
      <w:r w:rsidR="003924B7" w:rsidRPr="003924B7">
        <w:rPr>
          <w:szCs w:val="24"/>
          <w:u w:val="single"/>
        </w:rPr>
        <w:t>representando</w:t>
      </w:r>
      <w:r w:rsidR="003924B7" w:rsidRPr="003924B7">
        <w:rPr>
          <w:szCs w:val="24"/>
        </w:rPr>
        <w:t xml:space="preserve"> Edilson Sérgio Silveira (peça 102); </w:t>
      </w:r>
      <w:proofErr w:type="spellStart"/>
      <w:r w:rsidR="003924B7" w:rsidRPr="003924B7">
        <w:rPr>
          <w:szCs w:val="24"/>
        </w:rPr>
        <w:t>Angela</w:t>
      </w:r>
      <w:proofErr w:type="spellEnd"/>
      <w:r w:rsidR="003924B7" w:rsidRPr="003924B7">
        <w:rPr>
          <w:szCs w:val="24"/>
        </w:rPr>
        <w:t xml:space="preserve"> Cassia </w:t>
      </w:r>
      <w:proofErr w:type="spellStart"/>
      <w:r w:rsidR="003924B7" w:rsidRPr="003924B7">
        <w:rPr>
          <w:szCs w:val="24"/>
        </w:rPr>
        <w:t>Costaldello</w:t>
      </w:r>
      <w:proofErr w:type="spellEnd"/>
      <w:r w:rsidR="003924B7" w:rsidRPr="003924B7">
        <w:rPr>
          <w:szCs w:val="24"/>
        </w:rPr>
        <w:t xml:space="preserve"> (OAB 82958/PR) e outros, </w:t>
      </w:r>
      <w:r w:rsidR="003924B7" w:rsidRPr="00F1249C">
        <w:rPr>
          <w:szCs w:val="24"/>
          <w:u w:val="single"/>
        </w:rPr>
        <w:t>representando</w:t>
      </w:r>
      <w:r w:rsidR="003924B7" w:rsidRPr="003924B7">
        <w:rPr>
          <w:szCs w:val="24"/>
        </w:rPr>
        <w:t xml:space="preserve"> Graciela </w:t>
      </w:r>
      <w:proofErr w:type="spellStart"/>
      <w:r w:rsidR="003924B7" w:rsidRPr="003924B7">
        <w:rPr>
          <w:szCs w:val="24"/>
        </w:rPr>
        <w:t>Ines</w:t>
      </w:r>
      <w:proofErr w:type="spellEnd"/>
      <w:r w:rsidR="003924B7" w:rsidRPr="003924B7">
        <w:rPr>
          <w:szCs w:val="24"/>
        </w:rPr>
        <w:t xml:space="preserve"> </w:t>
      </w:r>
      <w:proofErr w:type="spellStart"/>
      <w:r w:rsidR="003924B7" w:rsidRPr="003924B7">
        <w:rPr>
          <w:szCs w:val="24"/>
        </w:rPr>
        <w:t>Bolzon</w:t>
      </w:r>
      <w:proofErr w:type="spellEnd"/>
      <w:r w:rsidR="003924B7" w:rsidRPr="003924B7">
        <w:rPr>
          <w:szCs w:val="24"/>
        </w:rPr>
        <w:t xml:space="preserve"> de Muniz (peça 87)</w:t>
      </w:r>
    </w:p>
    <w:p w:rsidR="00501812" w:rsidRPr="003924B7" w:rsidRDefault="00501812" w:rsidP="00501812">
      <w:pPr>
        <w:spacing w:before="120"/>
        <w:ind w:left="5103"/>
        <w:jc w:val="both"/>
        <w:rPr>
          <w:szCs w:val="24"/>
        </w:rPr>
      </w:pPr>
      <w:r w:rsidRPr="003924B7">
        <w:rPr>
          <w:b/>
          <w:szCs w:val="24"/>
        </w:rPr>
        <w:t>Interessado em sustentação oral:</w:t>
      </w:r>
      <w:r w:rsidRPr="003924B7">
        <w:rPr>
          <w:szCs w:val="24"/>
        </w:rPr>
        <w:t xml:space="preserve"> não há</w:t>
      </w:r>
    </w:p>
    <w:p w:rsidR="00501812" w:rsidRPr="003924B7" w:rsidRDefault="00501812" w:rsidP="00501812">
      <w:pPr>
        <w:pStyle w:val="Default"/>
        <w:spacing w:before="120"/>
        <w:ind w:left="5103"/>
        <w:jc w:val="both"/>
        <w:rPr>
          <w:color w:val="auto"/>
        </w:rPr>
      </w:pPr>
      <w:r w:rsidRPr="003924B7">
        <w:rPr>
          <w:b/>
          <w:color w:val="auto"/>
        </w:rPr>
        <w:t>Proposta:</w:t>
      </w:r>
      <w:r w:rsidRPr="003924B7">
        <w:rPr>
          <w:color w:val="auto"/>
        </w:rPr>
        <w:t xml:space="preserve"> a</w:t>
      </w:r>
      <w:r w:rsidR="009C3F18" w:rsidRPr="003924B7">
        <w:rPr>
          <w:color w:val="auto"/>
        </w:rPr>
        <w:t>pensamento</w:t>
      </w:r>
      <w:r w:rsidRPr="003924B7">
        <w:rPr>
          <w:color w:val="auto"/>
        </w:rPr>
        <w:t xml:space="preserve"> d</w:t>
      </w:r>
      <w:r w:rsidR="00E143F3" w:rsidRPr="003924B7">
        <w:rPr>
          <w:color w:val="auto"/>
        </w:rPr>
        <w:t xml:space="preserve">o processo </w:t>
      </w:r>
      <w:r w:rsidRPr="003924B7">
        <w:rPr>
          <w:color w:val="auto"/>
        </w:rPr>
        <w:t xml:space="preserve">Soli </w:t>
      </w:r>
      <w:r w:rsidR="005D6847" w:rsidRPr="003924B7">
        <w:rPr>
          <w:rFonts w:eastAsia="Calibri"/>
          <w:bCs/>
          <w:color w:val="auto"/>
        </w:rPr>
        <w:t>0</w:t>
      </w:r>
      <w:r w:rsidR="00553A07" w:rsidRPr="003924B7">
        <w:rPr>
          <w:rFonts w:eastAsia="Calibri"/>
          <w:bCs/>
          <w:color w:val="auto"/>
        </w:rPr>
        <w:t>2</w:t>
      </w:r>
      <w:r w:rsidR="003924B7" w:rsidRPr="003924B7">
        <w:rPr>
          <w:rFonts w:eastAsia="Calibri"/>
          <w:bCs/>
          <w:color w:val="auto"/>
        </w:rPr>
        <w:t>3</w:t>
      </w:r>
      <w:r w:rsidR="005D6847" w:rsidRPr="003924B7">
        <w:rPr>
          <w:rFonts w:eastAsia="Calibri"/>
          <w:bCs/>
          <w:color w:val="auto"/>
        </w:rPr>
        <w:t>.</w:t>
      </w:r>
      <w:r w:rsidR="003924B7" w:rsidRPr="003924B7">
        <w:rPr>
          <w:rFonts w:eastAsia="Calibri"/>
          <w:bCs/>
          <w:color w:val="auto"/>
        </w:rPr>
        <w:t>598</w:t>
      </w:r>
      <w:r w:rsidR="005D6847" w:rsidRPr="003924B7">
        <w:rPr>
          <w:rFonts w:eastAsia="Calibri"/>
          <w:bCs/>
          <w:color w:val="auto"/>
        </w:rPr>
        <w:t>/201</w:t>
      </w:r>
      <w:r w:rsidR="00827723" w:rsidRPr="003924B7">
        <w:rPr>
          <w:rFonts w:eastAsia="Calibri"/>
          <w:bCs/>
          <w:color w:val="auto"/>
        </w:rPr>
        <w:t>7</w:t>
      </w:r>
      <w:r w:rsidR="005D6847" w:rsidRPr="003924B7">
        <w:rPr>
          <w:rFonts w:eastAsia="Calibri"/>
          <w:bCs/>
          <w:color w:val="auto"/>
        </w:rPr>
        <w:t>-</w:t>
      </w:r>
      <w:r w:rsidR="003924B7" w:rsidRPr="003924B7">
        <w:rPr>
          <w:rFonts w:eastAsia="Calibri"/>
          <w:bCs/>
          <w:color w:val="auto"/>
        </w:rPr>
        <w:t>4</w:t>
      </w:r>
    </w:p>
    <w:p w:rsidR="00501812" w:rsidRPr="003924B7" w:rsidRDefault="00501812" w:rsidP="00501812">
      <w:pPr>
        <w:spacing w:before="120"/>
        <w:rPr>
          <w:szCs w:val="24"/>
        </w:rPr>
      </w:pPr>
      <w:bookmarkStart w:id="0" w:name="_GoBack"/>
      <w:bookmarkEnd w:id="0"/>
    </w:p>
    <w:p w:rsidR="00501812" w:rsidRPr="003924B7" w:rsidRDefault="00501812" w:rsidP="00501812">
      <w:pPr>
        <w:spacing w:before="120"/>
        <w:rPr>
          <w:szCs w:val="24"/>
        </w:rPr>
      </w:pPr>
    </w:p>
    <w:p w:rsidR="00501812" w:rsidRPr="003924B7" w:rsidRDefault="001860EB" w:rsidP="00B931AD">
      <w:pPr>
        <w:pStyle w:val="PargrafodaLista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before="120"/>
        <w:ind w:left="0" w:firstLine="0"/>
        <w:jc w:val="both"/>
        <w:rPr>
          <w:szCs w:val="24"/>
        </w:rPr>
      </w:pPr>
      <w:r w:rsidRPr="003924B7">
        <w:rPr>
          <w:szCs w:val="24"/>
        </w:rPr>
        <w:t>Apens</w:t>
      </w:r>
      <w:r w:rsidR="00501812" w:rsidRPr="003924B7">
        <w:rPr>
          <w:szCs w:val="24"/>
        </w:rPr>
        <w:t xml:space="preserve">ados, nesta data, os autos do processo de Solicitação </w:t>
      </w:r>
      <w:r w:rsidR="003924B7" w:rsidRPr="003924B7">
        <w:rPr>
          <w:rFonts w:eastAsia="Calibri"/>
          <w:bCs/>
        </w:rPr>
        <w:t>023.598/2017-4</w:t>
      </w:r>
      <w:r w:rsidR="00501812" w:rsidRPr="003924B7">
        <w:rPr>
          <w:rFonts w:eastAsia="Calibri"/>
          <w:bCs/>
          <w:szCs w:val="24"/>
        </w:rPr>
        <w:t xml:space="preserve">, nos termos do </w:t>
      </w:r>
      <w:r w:rsidR="00501812" w:rsidRPr="003924B7">
        <w:rPr>
          <w:rFonts w:eastAsia="Calibri"/>
          <w:szCs w:val="24"/>
        </w:rPr>
        <w:t>art. 61, parágrafo único, da Resolução - TCU 259, de 7 de maio de 2014, a saber (</w:t>
      </w:r>
      <w:r w:rsidR="00501812" w:rsidRPr="003924B7">
        <w:rPr>
          <w:rFonts w:eastAsia="Calibri"/>
          <w:b/>
          <w:szCs w:val="24"/>
        </w:rPr>
        <w:t>destaquei</w:t>
      </w:r>
      <w:r w:rsidR="00501812" w:rsidRPr="003924B7">
        <w:rPr>
          <w:rFonts w:eastAsia="Calibri"/>
          <w:szCs w:val="24"/>
        </w:rPr>
        <w:t>):</w:t>
      </w:r>
    </w:p>
    <w:p w:rsidR="00501812" w:rsidRPr="003924B7" w:rsidRDefault="00501812" w:rsidP="00501812">
      <w:pPr>
        <w:spacing w:before="120"/>
        <w:ind w:left="1134"/>
        <w:jc w:val="both"/>
        <w:rPr>
          <w:sz w:val="22"/>
          <w:szCs w:val="22"/>
        </w:rPr>
      </w:pPr>
      <w:r w:rsidRPr="003924B7">
        <w:rPr>
          <w:sz w:val="22"/>
          <w:szCs w:val="22"/>
        </w:rPr>
        <w:t>Art.61. As solicitações de que trata o art.59, incisos II, III e IV, desta Resolução, serão autuadas pelas unidades e, após seu atendimento, o processo deverá ser encerrado nos termos do art. 169, inciso V, do Regimento Interno.</w:t>
      </w:r>
    </w:p>
    <w:p w:rsidR="00501812" w:rsidRPr="003924B7" w:rsidRDefault="00501812" w:rsidP="00501812">
      <w:pPr>
        <w:spacing w:before="120"/>
        <w:ind w:left="1134"/>
        <w:jc w:val="both"/>
        <w:rPr>
          <w:sz w:val="22"/>
          <w:szCs w:val="22"/>
        </w:rPr>
      </w:pPr>
      <w:r w:rsidRPr="003924B7">
        <w:rPr>
          <w:sz w:val="22"/>
          <w:szCs w:val="22"/>
        </w:rPr>
        <w:t xml:space="preserve">Parágrafo único. Caso a unidade técnica entenda conveniente, poderá apensar o processo de solicitação aos autos do processo ao qual se refira, dispensada, nesse caso, autorização expressa do relator, </w:t>
      </w:r>
      <w:r w:rsidRPr="003924B7">
        <w:rPr>
          <w:b/>
          <w:sz w:val="22"/>
          <w:szCs w:val="22"/>
        </w:rPr>
        <w:t>sem prejuízo de que lhe seja dada ciência dessa medida nos autos do processo principal</w:t>
      </w:r>
      <w:r w:rsidRPr="003924B7">
        <w:rPr>
          <w:sz w:val="22"/>
          <w:szCs w:val="22"/>
        </w:rPr>
        <w:t>.</w:t>
      </w:r>
    </w:p>
    <w:p w:rsidR="00501812" w:rsidRPr="003924B7" w:rsidRDefault="00501812" w:rsidP="00501812">
      <w:pPr>
        <w:tabs>
          <w:tab w:val="left" w:pos="1134"/>
        </w:tabs>
        <w:spacing w:before="120"/>
        <w:rPr>
          <w:szCs w:val="24"/>
        </w:rPr>
      </w:pPr>
    </w:p>
    <w:p w:rsidR="00501812" w:rsidRPr="003924B7" w:rsidRDefault="00501812" w:rsidP="00501812">
      <w:pPr>
        <w:tabs>
          <w:tab w:val="left" w:pos="1134"/>
        </w:tabs>
        <w:spacing w:before="120"/>
        <w:rPr>
          <w:szCs w:val="24"/>
        </w:rPr>
      </w:pPr>
    </w:p>
    <w:p w:rsidR="00501812" w:rsidRPr="003924B7" w:rsidRDefault="00501812" w:rsidP="00501812">
      <w:pPr>
        <w:spacing w:before="120"/>
        <w:ind w:left="5103"/>
        <w:jc w:val="center"/>
        <w:rPr>
          <w:szCs w:val="24"/>
        </w:rPr>
      </w:pPr>
      <w:r w:rsidRPr="003924B7">
        <w:rPr>
          <w:szCs w:val="24"/>
        </w:rPr>
        <w:t xml:space="preserve">SECEX-PR, </w:t>
      </w:r>
      <w:r w:rsidR="00C2789B" w:rsidRPr="003924B7">
        <w:rPr>
          <w:szCs w:val="24"/>
        </w:rPr>
        <w:t>1</w:t>
      </w:r>
      <w:r w:rsidR="005916E2" w:rsidRPr="003924B7">
        <w:rPr>
          <w:szCs w:val="24"/>
        </w:rPr>
        <w:t>8</w:t>
      </w:r>
      <w:r w:rsidRPr="003924B7">
        <w:rPr>
          <w:szCs w:val="24"/>
        </w:rPr>
        <w:t xml:space="preserve"> de </w:t>
      </w:r>
      <w:r w:rsidR="00553A07" w:rsidRPr="003924B7">
        <w:rPr>
          <w:szCs w:val="24"/>
        </w:rPr>
        <w:t>setembro</w:t>
      </w:r>
      <w:r w:rsidR="00B471FE" w:rsidRPr="003924B7">
        <w:rPr>
          <w:szCs w:val="24"/>
        </w:rPr>
        <w:t xml:space="preserve"> </w:t>
      </w:r>
      <w:r w:rsidRPr="003924B7">
        <w:rPr>
          <w:szCs w:val="24"/>
        </w:rPr>
        <w:t>de 201</w:t>
      </w:r>
      <w:r w:rsidR="00B931AD" w:rsidRPr="003924B7">
        <w:rPr>
          <w:szCs w:val="24"/>
        </w:rPr>
        <w:t>7</w:t>
      </w:r>
    </w:p>
    <w:p w:rsidR="00553A07" w:rsidRPr="003924B7" w:rsidRDefault="00553A07" w:rsidP="00501812">
      <w:pPr>
        <w:spacing w:before="120"/>
        <w:ind w:left="5103"/>
        <w:jc w:val="center"/>
        <w:rPr>
          <w:szCs w:val="24"/>
        </w:rPr>
      </w:pPr>
    </w:p>
    <w:p w:rsidR="00501812" w:rsidRPr="003924B7" w:rsidRDefault="00501812" w:rsidP="00501812">
      <w:pPr>
        <w:spacing w:before="120"/>
        <w:ind w:left="5103"/>
        <w:jc w:val="center"/>
        <w:rPr>
          <w:i/>
          <w:szCs w:val="24"/>
        </w:rPr>
      </w:pPr>
      <w:r w:rsidRPr="003924B7">
        <w:rPr>
          <w:i/>
          <w:szCs w:val="24"/>
        </w:rPr>
        <w:t>(Assinado eletronicamente)</w:t>
      </w:r>
    </w:p>
    <w:p w:rsidR="00501812" w:rsidRPr="003924B7" w:rsidRDefault="00501812" w:rsidP="00501812">
      <w:pPr>
        <w:pStyle w:val="TCU-Ac-itens1a8"/>
        <w:ind w:left="5103"/>
        <w:jc w:val="center"/>
        <w:rPr>
          <w:szCs w:val="24"/>
        </w:rPr>
      </w:pPr>
      <w:r w:rsidRPr="003924B7">
        <w:rPr>
          <w:szCs w:val="24"/>
        </w:rPr>
        <w:t>CARLOS EDUARDO DIAS PEREIRA Matrícula 3509-2</w:t>
      </w:r>
    </w:p>
    <w:p w:rsidR="00A27A4A" w:rsidRPr="003924B7" w:rsidRDefault="00827723" w:rsidP="00501812">
      <w:pPr>
        <w:ind w:left="5103"/>
        <w:jc w:val="center"/>
        <w:rPr>
          <w:szCs w:val="24"/>
        </w:rPr>
      </w:pPr>
      <w:r w:rsidRPr="003924B7">
        <w:rPr>
          <w:szCs w:val="24"/>
        </w:rPr>
        <w:t>Assessor</w:t>
      </w:r>
    </w:p>
    <w:sectPr w:rsidR="00A27A4A" w:rsidRPr="003924B7" w:rsidSect="00F57C57">
      <w:headerReference w:type="default" r:id="rId8"/>
      <w:footerReference w:type="default" r:id="rId9"/>
      <w:pgSz w:w="11907" w:h="16840" w:code="9"/>
      <w:pgMar w:top="1871" w:right="851" w:bottom="765" w:left="1418" w:header="851" w:footer="65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ABD" w:rsidRDefault="00ED1ABD">
      <w:r>
        <w:separator/>
      </w:r>
    </w:p>
  </w:endnote>
  <w:endnote w:type="continuationSeparator" w:id="0">
    <w:p w:rsidR="00ED1ABD" w:rsidRDefault="00ED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C57" w:rsidRPr="00F57C57" w:rsidRDefault="00F57C57" w:rsidP="00F57C57">
    <w:pPr>
      <w:pStyle w:val="Rodap"/>
      <w:tabs>
        <w:tab w:val="clear" w:pos="4419"/>
        <w:tab w:val="clear" w:pos="8838"/>
        <w:tab w:val="right" w:pos="9638"/>
      </w:tabs>
      <w:rPr>
        <w:sz w:val="12"/>
      </w:rPr>
    </w:pPr>
    <w:r>
      <w:rPr>
        <w:noProof/>
        <w:sz w:val="12"/>
      </w:rPr>
      <mc:AlternateContent>
        <mc:Choice Requires="wps">
          <w:drawing>
            <wp:anchor distT="6350" distB="6350" distL="114300" distR="114300" simplePos="0" relativeHeight="25166131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-50165</wp:posOffset>
              </wp:positionV>
              <wp:extent cx="6120130" cy="0"/>
              <wp:effectExtent l="5080" t="6985" r="8890" b="12065"/>
              <wp:wrapNone/>
              <wp:docPr id="1" name="LinhaRodap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ADBBF9" id="LinhaRodape" o:spid="_x0000_s1026" style="position:absolute;z-index:251661312;visibility:visible;mso-wrap-style:square;mso-width-percent:0;mso-height-percent:0;mso-wrap-distance-left:9pt;mso-wrap-distance-top:.5pt;mso-wrap-distance-right:9pt;mso-wrap-distance-bottom:.5pt;mso-position-horizontal:absolute;mso-position-horizontal-relative:margin;mso-position-vertical:absolute;mso-position-vertical-relative:text;mso-width-percent:0;mso-height-percent:0;mso-width-relative:page;mso-height-relative:page" from="0,-3.95pt" to="481.9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ABD" w:rsidRDefault="00ED1ABD">
      <w:r>
        <w:separator/>
      </w:r>
    </w:p>
  </w:footnote>
  <w:footnote w:type="continuationSeparator" w:id="0">
    <w:p w:rsidR="00ED1ABD" w:rsidRDefault="00ED1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1BA" w:rsidRPr="00F57C57" w:rsidRDefault="00F57C57" w:rsidP="00F57C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547370</wp:posOffset>
              </wp:positionH>
              <wp:positionV relativeFrom="page">
                <wp:posOffset>565150</wp:posOffset>
              </wp:positionV>
              <wp:extent cx="6120130" cy="521970"/>
              <wp:effectExtent l="0" t="3175" r="444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130" cy="521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7C57" w:rsidRDefault="00F57C57" w:rsidP="00F57C57">
                          <w:pPr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TRIBUNAL DE CONTAS DA UNIÃO</w:t>
                          </w:r>
                        </w:p>
                        <w:p w:rsidR="00F57C57" w:rsidRDefault="00F57C57" w:rsidP="00F57C57">
                          <w:pPr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Secretaria-Geral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 xml:space="preserve"> de Controle Externo</w:t>
                          </w:r>
                        </w:p>
                        <w:p w:rsidR="00F57C57" w:rsidRPr="00F57C57" w:rsidRDefault="00F57C57" w:rsidP="00F57C57">
                          <w:pPr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Secretaria de Controle Externo no Paraná</w:t>
                          </w:r>
                        </w:p>
                      </w:txbxContent>
                    </wps:txbx>
                    <wps:bodyPr rot="0" vert="horz" wrap="square" lIns="91440" tIns="35941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3.1pt;margin-top:44.5pt;width:481.9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" stroked="f">
              <v:textbox inset=",2.83pt">
                <w:txbxContent>
                  <w:p w:rsidR="00F57C57" w:rsidRDefault="00F57C57" w:rsidP="00F57C57">
                    <w:pPr>
                      <w:rPr>
                        <w:rFonts w:ascii="Arial" w:hAnsi="Arial" w:cs="Arial"/>
                        <w:b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</w:rPr>
                      <w:t>TRIBUNAL DE CONTAS DA UNIÃO</w:t>
                    </w:r>
                  </w:p>
                  <w:p w:rsidR="00F57C57" w:rsidRDefault="00F57C57" w:rsidP="00F57C57">
                    <w:pPr>
                      <w:rPr>
                        <w:rFonts w:ascii="Arial" w:hAnsi="Arial" w:cs="Arial"/>
                        <w:b/>
                        <w:sz w:val="20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b/>
                        <w:sz w:val="20"/>
                      </w:rPr>
                      <w:t>Secretaria-Geral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sz w:val="20"/>
                      </w:rPr>
                      <w:t xml:space="preserve"> de Controle Externo</w:t>
                    </w:r>
                  </w:p>
                  <w:p w:rsidR="00F57C57" w:rsidRPr="00F57C57" w:rsidRDefault="00F57C57" w:rsidP="00F57C57">
                    <w:pPr>
                      <w:rPr>
                        <w:rFonts w:ascii="Arial" w:hAnsi="Arial" w:cs="Arial"/>
                        <w:b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</w:rPr>
                      <w:t>Secretaria de Controle Externo no Paraná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575945</wp:posOffset>
              </wp:positionV>
              <wp:extent cx="6120130" cy="0"/>
              <wp:effectExtent l="5080" t="11430" r="8890" b="762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EAEE83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45.35pt" to="481.9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MF4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"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42925" cy="434340"/>
          <wp:effectExtent l="0" t="0" r="9525" b="3810"/>
          <wp:wrapNone/>
          <wp:docPr id="2" name="Imagem 1" descr="C:\SistemasTCU\sisdoc\LogoTcu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SistemasTCU\sisdoc\LogoTcu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418A7"/>
    <w:multiLevelType w:val="hybridMultilevel"/>
    <w:tmpl w:val="2DAED346"/>
    <w:lvl w:ilvl="0" w:tplc="88128BF0">
      <w:start w:val="1"/>
      <w:numFmt w:val="decimal"/>
      <w:lvlText w:val="%1."/>
      <w:lvlJc w:val="left"/>
      <w:pPr>
        <w:ind w:left="1440" w:hanging="13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1BB4577"/>
    <w:multiLevelType w:val="hybridMultilevel"/>
    <w:tmpl w:val="895AC890"/>
    <w:lvl w:ilvl="0" w:tplc="ECE477C6">
      <w:start w:val="1"/>
      <w:numFmt w:val="decimal"/>
      <w:lvlText w:val="%1."/>
      <w:lvlJc w:val="left"/>
      <w:pPr>
        <w:ind w:left="1488" w:hanging="112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A4A"/>
    <w:rsid w:val="0001206C"/>
    <w:rsid w:val="000408B9"/>
    <w:rsid w:val="000437BC"/>
    <w:rsid w:val="000506C1"/>
    <w:rsid w:val="00051033"/>
    <w:rsid w:val="00051AA9"/>
    <w:rsid w:val="00067E1C"/>
    <w:rsid w:val="0007762A"/>
    <w:rsid w:val="00082F5D"/>
    <w:rsid w:val="00083342"/>
    <w:rsid w:val="000910B4"/>
    <w:rsid w:val="00095141"/>
    <w:rsid w:val="000B2361"/>
    <w:rsid w:val="000B4532"/>
    <w:rsid w:val="000B7754"/>
    <w:rsid w:val="000C04B7"/>
    <w:rsid w:val="000C0EBF"/>
    <w:rsid w:val="000C3FFA"/>
    <w:rsid w:val="000D668F"/>
    <w:rsid w:val="000E506E"/>
    <w:rsid w:val="00100FD0"/>
    <w:rsid w:val="0010198C"/>
    <w:rsid w:val="00115589"/>
    <w:rsid w:val="0012147D"/>
    <w:rsid w:val="001230E1"/>
    <w:rsid w:val="00123AEC"/>
    <w:rsid w:val="00130A4B"/>
    <w:rsid w:val="00141208"/>
    <w:rsid w:val="00142946"/>
    <w:rsid w:val="00153369"/>
    <w:rsid w:val="0015464E"/>
    <w:rsid w:val="00157CAB"/>
    <w:rsid w:val="0016444B"/>
    <w:rsid w:val="0017291F"/>
    <w:rsid w:val="001860EB"/>
    <w:rsid w:val="00186EF2"/>
    <w:rsid w:val="001B15B3"/>
    <w:rsid w:val="001C410D"/>
    <w:rsid w:val="001D5CC9"/>
    <w:rsid w:val="001E27D9"/>
    <w:rsid w:val="001E2F1F"/>
    <w:rsid w:val="001E644D"/>
    <w:rsid w:val="001E64C8"/>
    <w:rsid w:val="002102A1"/>
    <w:rsid w:val="00211CEE"/>
    <w:rsid w:val="00231D6E"/>
    <w:rsid w:val="00236EBF"/>
    <w:rsid w:val="0024012C"/>
    <w:rsid w:val="002421BA"/>
    <w:rsid w:val="00244BFD"/>
    <w:rsid w:val="00260B2E"/>
    <w:rsid w:val="00262D4C"/>
    <w:rsid w:val="00270D89"/>
    <w:rsid w:val="002776BE"/>
    <w:rsid w:val="00277D13"/>
    <w:rsid w:val="00282A65"/>
    <w:rsid w:val="00284A81"/>
    <w:rsid w:val="00290AE8"/>
    <w:rsid w:val="002927D2"/>
    <w:rsid w:val="00292800"/>
    <w:rsid w:val="00295FD2"/>
    <w:rsid w:val="002A42E9"/>
    <w:rsid w:val="002A4A9E"/>
    <w:rsid w:val="002A4B52"/>
    <w:rsid w:val="002A6419"/>
    <w:rsid w:val="002C6B9D"/>
    <w:rsid w:val="002D6926"/>
    <w:rsid w:val="002D70AB"/>
    <w:rsid w:val="002E64F8"/>
    <w:rsid w:val="002F7CE2"/>
    <w:rsid w:val="00300CE8"/>
    <w:rsid w:val="00314B88"/>
    <w:rsid w:val="0031667A"/>
    <w:rsid w:val="003226D3"/>
    <w:rsid w:val="00335D5E"/>
    <w:rsid w:val="0033633F"/>
    <w:rsid w:val="00340F88"/>
    <w:rsid w:val="0034580D"/>
    <w:rsid w:val="00346F68"/>
    <w:rsid w:val="00367256"/>
    <w:rsid w:val="003723E9"/>
    <w:rsid w:val="00372D38"/>
    <w:rsid w:val="0037562C"/>
    <w:rsid w:val="00387C73"/>
    <w:rsid w:val="00392294"/>
    <w:rsid w:val="003924B7"/>
    <w:rsid w:val="003930DD"/>
    <w:rsid w:val="003971ED"/>
    <w:rsid w:val="003973CF"/>
    <w:rsid w:val="003B327F"/>
    <w:rsid w:val="003B658F"/>
    <w:rsid w:val="003D47D7"/>
    <w:rsid w:val="003E373A"/>
    <w:rsid w:val="003E6A8C"/>
    <w:rsid w:val="003F429D"/>
    <w:rsid w:val="003F7C45"/>
    <w:rsid w:val="004008FE"/>
    <w:rsid w:val="00402D21"/>
    <w:rsid w:val="0041125A"/>
    <w:rsid w:val="00414C27"/>
    <w:rsid w:val="004221AD"/>
    <w:rsid w:val="00424110"/>
    <w:rsid w:val="0043783A"/>
    <w:rsid w:val="00442CEC"/>
    <w:rsid w:val="00472C36"/>
    <w:rsid w:val="00476280"/>
    <w:rsid w:val="00485DE5"/>
    <w:rsid w:val="00493290"/>
    <w:rsid w:val="00497289"/>
    <w:rsid w:val="004B6D61"/>
    <w:rsid w:val="004C29AD"/>
    <w:rsid w:val="004C4D61"/>
    <w:rsid w:val="004C4E05"/>
    <w:rsid w:val="004D687E"/>
    <w:rsid w:val="00501198"/>
    <w:rsid w:val="00501812"/>
    <w:rsid w:val="005333DA"/>
    <w:rsid w:val="00544047"/>
    <w:rsid w:val="00553A07"/>
    <w:rsid w:val="00555736"/>
    <w:rsid w:val="005712A4"/>
    <w:rsid w:val="005750E8"/>
    <w:rsid w:val="005763C6"/>
    <w:rsid w:val="005916E2"/>
    <w:rsid w:val="0059216B"/>
    <w:rsid w:val="005B4823"/>
    <w:rsid w:val="005C496C"/>
    <w:rsid w:val="005D11C8"/>
    <w:rsid w:val="005D3465"/>
    <w:rsid w:val="005D6847"/>
    <w:rsid w:val="005F03C8"/>
    <w:rsid w:val="006129FF"/>
    <w:rsid w:val="00617DFB"/>
    <w:rsid w:val="00624564"/>
    <w:rsid w:val="00635680"/>
    <w:rsid w:val="00652627"/>
    <w:rsid w:val="006560F5"/>
    <w:rsid w:val="00657EFE"/>
    <w:rsid w:val="00664EE7"/>
    <w:rsid w:val="00677901"/>
    <w:rsid w:val="00680CDE"/>
    <w:rsid w:val="00681EA4"/>
    <w:rsid w:val="00690F26"/>
    <w:rsid w:val="0069626D"/>
    <w:rsid w:val="006968C6"/>
    <w:rsid w:val="006A30E2"/>
    <w:rsid w:val="006E08B9"/>
    <w:rsid w:val="006E0CC2"/>
    <w:rsid w:val="006E797C"/>
    <w:rsid w:val="00704DA6"/>
    <w:rsid w:val="00751BE2"/>
    <w:rsid w:val="00754F0E"/>
    <w:rsid w:val="00761CBF"/>
    <w:rsid w:val="00764FE7"/>
    <w:rsid w:val="00766D92"/>
    <w:rsid w:val="00767500"/>
    <w:rsid w:val="007678C1"/>
    <w:rsid w:val="00784192"/>
    <w:rsid w:val="00794B25"/>
    <w:rsid w:val="007A2DC6"/>
    <w:rsid w:val="007A3E94"/>
    <w:rsid w:val="007D76DC"/>
    <w:rsid w:val="007E3534"/>
    <w:rsid w:val="007E760B"/>
    <w:rsid w:val="007E7913"/>
    <w:rsid w:val="007E7B25"/>
    <w:rsid w:val="007F2361"/>
    <w:rsid w:val="00804284"/>
    <w:rsid w:val="00811319"/>
    <w:rsid w:val="0082220B"/>
    <w:rsid w:val="0082291A"/>
    <w:rsid w:val="00827723"/>
    <w:rsid w:val="00830133"/>
    <w:rsid w:val="008351C2"/>
    <w:rsid w:val="00835E00"/>
    <w:rsid w:val="0085143C"/>
    <w:rsid w:val="00852E49"/>
    <w:rsid w:val="00856933"/>
    <w:rsid w:val="0086776A"/>
    <w:rsid w:val="00882040"/>
    <w:rsid w:val="008A2E98"/>
    <w:rsid w:val="008A5FBE"/>
    <w:rsid w:val="008B30FC"/>
    <w:rsid w:val="008B701A"/>
    <w:rsid w:val="008C1050"/>
    <w:rsid w:val="008C7EC0"/>
    <w:rsid w:val="008D4764"/>
    <w:rsid w:val="008D4AE6"/>
    <w:rsid w:val="009009C2"/>
    <w:rsid w:val="00901AEC"/>
    <w:rsid w:val="00911DC4"/>
    <w:rsid w:val="00917169"/>
    <w:rsid w:val="00927822"/>
    <w:rsid w:val="0094520F"/>
    <w:rsid w:val="00960791"/>
    <w:rsid w:val="0098152A"/>
    <w:rsid w:val="00983BF6"/>
    <w:rsid w:val="009B592F"/>
    <w:rsid w:val="009B7878"/>
    <w:rsid w:val="009C3F18"/>
    <w:rsid w:val="009E271E"/>
    <w:rsid w:val="009F67FB"/>
    <w:rsid w:val="00A02DA5"/>
    <w:rsid w:val="00A27A4A"/>
    <w:rsid w:val="00A32DFE"/>
    <w:rsid w:val="00A519F5"/>
    <w:rsid w:val="00A6046F"/>
    <w:rsid w:val="00A61034"/>
    <w:rsid w:val="00A647C6"/>
    <w:rsid w:val="00A66D4C"/>
    <w:rsid w:val="00A85E6B"/>
    <w:rsid w:val="00AA32AB"/>
    <w:rsid w:val="00AA4C66"/>
    <w:rsid w:val="00AA4DF4"/>
    <w:rsid w:val="00AA50EC"/>
    <w:rsid w:val="00AA7703"/>
    <w:rsid w:val="00AD3A2D"/>
    <w:rsid w:val="00AF0D23"/>
    <w:rsid w:val="00AF5499"/>
    <w:rsid w:val="00B01E4F"/>
    <w:rsid w:val="00B24023"/>
    <w:rsid w:val="00B24223"/>
    <w:rsid w:val="00B304E5"/>
    <w:rsid w:val="00B33C1F"/>
    <w:rsid w:val="00B34777"/>
    <w:rsid w:val="00B42546"/>
    <w:rsid w:val="00B471FE"/>
    <w:rsid w:val="00B539B6"/>
    <w:rsid w:val="00B5440D"/>
    <w:rsid w:val="00B71DB0"/>
    <w:rsid w:val="00B7790D"/>
    <w:rsid w:val="00B860C4"/>
    <w:rsid w:val="00B931AD"/>
    <w:rsid w:val="00BA7D59"/>
    <w:rsid w:val="00BB17C2"/>
    <w:rsid w:val="00BB778F"/>
    <w:rsid w:val="00BC55BE"/>
    <w:rsid w:val="00BD58B8"/>
    <w:rsid w:val="00BE3BF4"/>
    <w:rsid w:val="00BE4EA7"/>
    <w:rsid w:val="00BF2882"/>
    <w:rsid w:val="00C031E0"/>
    <w:rsid w:val="00C069DA"/>
    <w:rsid w:val="00C078B4"/>
    <w:rsid w:val="00C13FCA"/>
    <w:rsid w:val="00C1497D"/>
    <w:rsid w:val="00C2789B"/>
    <w:rsid w:val="00C32469"/>
    <w:rsid w:val="00C32B26"/>
    <w:rsid w:val="00C4303A"/>
    <w:rsid w:val="00C81614"/>
    <w:rsid w:val="00C8615A"/>
    <w:rsid w:val="00C873B3"/>
    <w:rsid w:val="00C95791"/>
    <w:rsid w:val="00CB21F0"/>
    <w:rsid w:val="00CB2B90"/>
    <w:rsid w:val="00CB4D8E"/>
    <w:rsid w:val="00CC1B1B"/>
    <w:rsid w:val="00CC2950"/>
    <w:rsid w:val="00CC3211"/>
    <w:rsid w:val="00CC5531"/>
    <w:rsid w:val="00CC715B"/>
    <w:rsid w:val="00CE1396"/>
    <w:rsid w:val="00CF142D"/>
    <w:rsid w:val="00CF55BA"/>
    <w:rsid w:val="00CF69AF"/>
    <w:rsid w:val="00D036D2"/>
    <w:rsid w:val="00D03CD1"/>
    <w:rsid w:val="00D03DAF"/>
    <w:rsid w:val="00D1114A"/>
    <w:rsid w:val="00D169DA"/>
    <w:rsid w:val="00D21DD1"/>
    <w:rsid w:val="00D51F15"/>
    <w:rsid w:val="00D7152E"/>
    <w:rsid w:val="00D95002"/>
    <w:rsid w:val="00DA4076"/>
    <w:rsid w:val="00DB3622"/>
    <w:rsid w:val="00DD6B1E"/>
    <w:rsid w:val="00DE3E5E"/>
    <w:rsid w:val="00DE55BE"/>
    <w:rsid w:val="00DE7C6E"/>
    <w:rsid w:val="00DF17CE"/>
    <w:rsid w:val="00DF383E"/>
    <w:rsid w:val="00DF40FF"/>
    <w:rsid w:val="00DF44B6"/>
    <w:rsid w:val="00DF4B53"/>
    <w:rsid w:val="00E143F3"/>
    <w:rsid w:val="00E1619B"/>
    <w:rsid w:val="00E20422"/>
    <w:rsid w:val="00E23FEC"/>
    <w:rsid w:val="00E256CF"/>
    <w:rsid w:val="00E2691A"/>
    <w:rsid w:val="00E418A5"/>
    <w:rsid w:val="00E43E83"/>
    <w:rsid w:val="00E51022"/>
    <w:rsid w:val="00E70172"/>
    <w:rsid w:val="00E73AF5"/>
    <w:rsid w:val="00E81E78"/>
    <w:rsid w:val="00E822A9"/>
    <w:rsid w:val="00E8450D"/>
    <w:rsid w:val="00E928EE"/>
    <w:rsid w:val="00EA13CA"/>
    <w:rsid w:val="00EC1BB5"/>
    <w:rsid w:val="00EC4E36"/>
    <w:rsid w:val="00ED1ABD"/>
    <w:rsid w:val="00ED53AA"/>
    <w:rsid w:val="00EE0A79"/>
    <w:rsid w:val="00EE6C63"/>
    <w:rsid w:val="00EF20E5"/>
    <w:rsid w:val="00EF6476"/>
    <w:rsid w:val="00F02189"/>
    <w:rsid w:val="00F02F12"/>
    <w:rsid w:val="00F070A5"/>
    <w:rsid w:val="00F1249C"/>
    <w:rsid w:val="00F12A57"/>
    <w:rsid w:val="00F1573E"/>
    <w:rsid w:val="00F165F8"/>
    <w:rsid w:val="00F228FE"/>
    <w:rsid w:val="00F306F2"/>
    <w:rsid w:val="00F31A59"/>
    <w:rsid w:val="00F327FC"/>
    <w:rsid w:val="00F364D2"/>
    <w:rsid w:val="00F41E60"/>
    <w:rsid w:val="00F437B4"/>
    <w:rsid w:val="00F4677A"/>
    <w:rsid w:val="00F46E83"/>
    <w:rsid w:val="00F55F33"/>
    <w:rsid w:val="00F57C57"/>
    <w:rsid w:val="00F61CFF"/>
    <w:rsid w:val="00F67D5C"/>
    <w:rsid w:val="00F81121"/>
    <w:rsid w:val="00F82D33"/>
    <w:rsid w:val="00F8787B"/>
    <w:rsid w:val="00FA4F50"/>
    <w:rsid w:val="00FB6108"/>
    <w:rsid w:val="00FB7D41"/>
    <w:rsid w:val="00FC256C"/>
    <w:rsid w:val="00FC5980"/>
    <w:rsid w:val="00FE5487"/>
    <w:rsid w:val="00FF287B"/>
    <w:rsid w:val="00FF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A6BDCA-3A0B-4D1B-A198-E366E926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FCA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C13FCA"/>
    <w:pPr>
      <w:keepNext/>
      <w:jc w:val="both"/>
      <w:outlineLvl w:val="0"/>
    </w:pPr>
  </w:style>
  <w:style w:type="paragraph" w:styleId="Ttulo2">
    <w:name w:val="heading 2"/>
    <w:basedOn w:val="Normal"/>
    <w:next w:val="Normal"/>
    <w:qFormat/>
    <w:rsid w:val="00C13FCA"/>
    <w:pPr>
      <w:keepNext/>
      <w:ind w:left="4395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C13FCA"/>
    <w:pPr>
      <w:keepNext/>
      <w:widowControl w:val="0"/>
      <w:ind w:firstLine="709"/>
      <w:jc w:val="both"/>
      <w:outlineLvl w:val="2"/>
    </w:pPr>
  </w:style>
  <w:style w:type="paragraph" w:styleId="Ttulo4">
    <w:name w:val="heading 4"/>
    <w:basedOn w:val="Normal"/>
    <w:next w:val="Normal"/>
    <w:qFormat/>
    <w:rsid w:val="00C13FCA"/>
    <w:pPr>
      <w:keepNext/>
      <w:widowControl w:val="0"/>
      <w:spacing w:before="100"/>
      <w:jc w:val="right"/>
      <w:outlineLvl w:val="3"/>
    </w:pPr>
  </w:style>
  <w:style w:type="paragraph" w:styleId="Ttulo5">
    <w:name w:val="heading 5"/>
    <w:basedOn w:val="Normal"/>
    <w:next w:val="Normal"/>
    <w:link w:val="Ttulo5Char"/>
    <w:qFormat/>
    <w:rsid w:val="00C13FCA"/>
    <w:pPr>
      <w:keepNext/>
      <w:ind w:left="-709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C13FCA"/>
    <w:pPr>
      <w:keepNext/>
      <w:ind w:left="-567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13FC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13FCA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C13FCA"/>
  </w:style>
  <w:style w:type="paragraph" w:styleId="Corpodetexto">
    <w:name w:val="Body Text"/>
    <w:basedOn w:val="Normal"/>
    <w:rsid w:val="00C13FCA"/>
    <w:pPr>
      <w:ind w:right="-567"/>
      <w:jc w:val="both"/>
    </w:pPr>
  </w:style>
  <w:style w:type="paragraph" w:styleId="Corpodetexto2">
    <w:name w:val="Body Text 2"/>
    <w:basedOn w:val="Normal"/>
    <w:rsid w:val="00C13FCA"/>
    <w:pPr>
      <w:jc w:val="both"/>
    </w:pPr>
  </w:style>
  <w:style w:type="paragraph" w:styleId="Recuodecorpodetexto">
    <w:name w:val="Body Text Indent"/>
    <w:basedOn w:val="Normal"/>
    <w:rsid w:val="00C13FCA"/>
    <w:pPr>
      <w:ind w:left="851"/>
      <w:jc w:val="both"/>
    </w:pPr>
    <w:rPr>
      <w:i/>
    </w:rPr>
  </w:style>
  <w:style w:type="paragraph" w:styleId="Recuodecorpodetexto2">
    <w:name w:val="Body Text Indent 2"/>
    <w:basedOn w:val="Normal"/>
    <w:rsid w:val="00C13FCA"/>
    <w:pPr>
      <w:ind w:left="851"/>
      <w:jc w:val="both"/>
    </w:pPr>
    <w:rPr>
      <w:i/>
    </w:rPr>
  </w:style>
  <w:style w:type="paragraph" w:styleId="Recuodecorpodetexto3">
    <w:name w:val="Body Text Indent 3"/>
    <w:basedOn w:val="Normal"/>
    <w:rsid w:val="00C13FCA"/>
    <w:pPr>
      <w:ind w:left="1276"/>
      <w:jc w:val="both"/>
    </w:pPr>
    <w:rPr>
      <w:i/>
    </w:rPr>
  </w:style>
  <w:style w:type="paragraph" w:styleId="Corpodetexto3">
    <w:name w:val="Body Text 3"/>
    <w:basedOn w:val="Normal"/>
    <w:rsid w:val="00C13FCA"/>
    <w:pPr>
      <w:jc w:val="both"/>
    </w:pPr>
    <w:rPr>
      <w:i/>
    </w:rPr>
  </w:style>
  <w:style w:type="paragraph" w:styleId="Textoembloco">
    <w:name w:val="Block Text"/>
    <w:basedOn w:val="Normal"/>
    <w:rsid w:val="00C13FCA"/>
    <w:pPr>
      <w:ind w:left="709" w:right="708"/>
      <w:jc w:val="both"/>
    </w:pPr>
    <w:rPr>
      <w:i/>
    </w:rPr>
  </w:style>
  <w:style w:type="paragraph" w:customStyle="1" w:styleId="TituloDocumento">
    <w:name w:val="Titulo Documento"/>
    <w:basedOn w:val="Normal"/>
    <w:rsid w:val="00C13FCA"/>
    <w:rPr>
      <w:b/>
      <w:caps/>
    </w:rPr>
  </w:style>
  <w:style w:type="paragraph" w:customStyle="1" w:styleId="Ementa">
    <w:name w:val="Ementa"/>
    <w:basedOn w:val="Normal"/>
    <w:rsid w:val="00C13FCA"/>
    <w:pPr>
      <w:ind w:left="4536"/>
      <w:jc w:val="both"/>
    </w:pPr>
  </w:style>
  <w:style w:type="paragraph" w:styleId="Textodebalo">
    <w:name w:val="Balloon Text"/>
    <w:basedOn w:val="Normal"/>
    <w:link w:val="TextodebaloChar"/>
    <w:rsid w:val="002102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102A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4D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link w:val="Cabealho"/>
    <w:uiPriority w:val="99"/>
    <w:rsid w:val="003F7C45"/>
    <w:rPr>
      <w:sz w:val="24"/>
    </w:rPr>
  </w:style>
  <w:style w:type="paragraph" w:customStyle="1" w:styleId="Cabealho0">
    <w:name w:val="#Cabeçalho"/>
    <w:basedOn w:val="Normal"/>
    <w:rsid w:val="003F7C45"/>
    <w:pPr>
      <w:spacing w:line="220" w:lineRule="exact"/>
      <w:jc w:val="both"/>
    </w:pPr>
    <w:rPr>
      <w:rFonts w:ascii="Arial" w:eastAsia="Calibri" w:hAnsi="Arial"/>
      <w:sz w:val="18"/>
      <w:szCs w:val="18"/>
      <w:lang w:eastAsia="en-US"/>
    </w:rPr>
  </w:style>
  <w:style w:type="character" w:styleId="Refdecomentrio">
    <w:name w:val="annotation reference"/>
    <w:rsid w:val="00123AEC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123AEC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123AEC"/>
  </w:style>
  <w:style w:type="paragraph" w:styleId="Assuntodocomentrio">
    <w:name w:val="annotation subject"/>
    <w:basedOn w:val="Textodecomentrio"/>
    <w:next w:val="Textodecomentrio"/>
    <w:link w:val="AssuntodocomentrioChar"/>
    <w:rsid w:val="00123AEC"/>
    <w:rPr>
      <w:b/>
      <w:bCs/>
    </w:rPr>
  </w:style>
  <w:style w:type="character" w:customStyle="1" w:styleId="AssuntodocomentrioChar">
    <w:name w:val="Assunto do comentário Char"/>
    <w:link w:val="Assuntodocomentrio"/>
    <w:rsid w:val="00123AEC"/>
    <w:rPr>
      <w:b/>
      <w:bCs/>
    </w:rPr>
  </w:style>
  <w:style w:type="character" w:customStyle="1" w:styleId="Ttulo1Char">
    <w:name w:val="Título 1 Char"/>
    <w:link w:val="Ttulo1"/>
    <w:rsid w:val="00CB2B90"/>
    <w:rPr>
      <w:sz w:val="24"/>
    </w:rPr>
  </w:style>
  <w:style w:type="character" w:customStyle="1" w:styleId="Ttulo5Char">
    <w:name w:val="Título 5 Char"/>
    <w:link w:val="Ttulo5"/>
    <w:rsid w:val="00EE0A79"/>
    <w:rPr>
      <w:b/>
      <w:sz w:val="24"/>
    </w:rPr>
  </w:style>
  <w:style w:type="paragraph" w:styleId="PargrafodaLista">
    <w:name w:val="List Paragraph"/>
    <w:basedOn w:val="Normal"/>
    <w:uiPriority w:val="34"/>
    <w:qFormat/>
    <w:rsid w:val="00501812"/>
    <w:pPr>
      <w:ind w:left="708"/>
    </w:pPr>
  </w:style>
  <w:style w:type="paragraph" w:customStyle="1" w:styleId="TCU-Ac-itens1a8">
    <w:name w:val="TCU -   Ac - itens 1 a 8"/>
    <w:basedOn w:val="Normal"/>
    <w:qFormat/>
    <w:rsid w:val="00501812"/>
    <w:pPr>
      <w:tabs>
        <w:tab w:val="left" w:pos="1134"/>
      </w:tabs>
      <w:jc w:val="both"/>
    </w:pPr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0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EEB78-6675-426E-9FEC-70C43DA75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</vt:lpstr>
    </vt:vector>
  </TitlesOfParts>
  <Company>TCU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</dc:title>
  <dc:subject/>
  <dc:creator>TCU</dc:creator>
  <cp:keywords/>
  <cp:lastModifiedBy>Carlos Eduardo Dias Pereira</cp:lastModifiedBy>
  <cp:revision>4</cp:revision>
  <cp:lastPrinted>2008-11-05T21:36:00Z</cp:lastPrinted>
  <dcterms:created xsi:type="dcterms:W3CDTF">2017-09-18T20:34:00Z</dcterms:created>
  <dcterms:modified xsi:type="dcterms:W3CDTF">2017-09-18T20:42:00Z</dcterms:modified>
</cp:coreProperties>
</file>