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959" w:rsidRPr="00D35B87" w:rsidRDefault="00B47959" w:rsidP="00650EBA">
      <w:pPr>
        <w:pStyle w:val="Prembulo"/>
        <w:ind w:left="4962"/>
      </w:pPr>
      <w:r w:rsidRPr="00D35B87">
        <w:t xml:space="preserve">TC </w:t>
      </w:r>
      <w:r w:rsidR="00D35B87" w:rsidRPr="00D35B87">
        <w:t>037</w:t>
      </w:r>
      <w:r w:rsidRPr="00D35B87">
        <w:t>.</w:t>
      </w:r>
      <w:r w:rsidR="00D35B87" w:rsidRPr="00D35B87">
        <w:t>773</w:t>
      </w:r>
      <w:r w:rsidRPr="00D35B87">
        <w:t>/</w:t>
      </w:r>
      <w:r w:rsidR="005263AA" w:rsidRPr="00D35B87">
        <w:t>2011</w:t>
      </w:r>
      <w:r w:rsidRPr="00D35B87">
        <w:t>-</w:t>
      </w:r>
      <w:r w:rsidR="00D35B87" w:rsidRPr="00D35B87">
        <w:t>9</w:t>
      </w:r>
    </w:p>
    <w:p w:rsidR="00041971" w:rsidRPr="00041971" w:rsidRDefault="00041971" w:rsidP="00650EBA">
      <w:pPr>
        <w:pStyle w:val="Prembulo"/>
        <w:ind w:left="4962"/>
        <w:rPr>
          <w:b w:val="0"/>
        </w:rPr>
      </w:pPr>
      <w:r>
        <w:t xml:space="preserve">Apenso: </w:t>
      </w:r>
      <w:r>
        <w:rPr>
          <w:b w:val="0"/>
        </w:rPr>
        <w:t>TC 001.814/2012-5</w:t>
      </w:r>
    </w:p>
    <w:p w:rsidR="00B47959" w:rsidRPr="00D35B87" w:rsidRDefault="00B47959" w:rsidP="00650EBA">
      <w:pPr>
        <w:pStyle w:val="Prembulo"/>
        <w:ind w:left="4962"/>
        <w:rPr>
          <w:b w:val="0"/>
        </w:rPr>
      </w:pPr>
      <w:r w:rsidRPr="00D35B87">
        <w:t xml:space="preserve">Tipo: </w:t>
      </w:r>
      <w:r w:rsidR="005263AA" w:rsidRPr="00D35B87">
        <w:rPr>
          <w:b w:val="0"/>
        </w:rPr>
        <w:t>Relatório de Auditoria</w:t>
      </w:r>
    </w:p>
    <w:p w:rsidR="00B47959" w:rsidRPr="00D35B87" w:rsidRDefault="00B47959" w:rsidP="00650EBA">
      <w:pPr>
        <w:pStyle w:val="Prembulo"/>
        <w:ind w:left="4962"/>
        <w:rPr>
          <w:b w:val="0"/>
        </w:rPr>
      </w:pPr>
      <w:r w:rsidRPr="00D35B87">
        <w:t>Unidade Jurisdicionada:</w:t>
      </w:r>
      <w:r w:rsidR="00D35B87" w:rsidRPr="00D35B87">
        <w:rPr>
          <w:b w:val="0"/>
        </w:rPr>
        <w:t xml:space="preserve"> Ministério da Integração Nacional (MI)</w:t>
      </w:r>
    </w:p>
    <w:p w:rsidR="00B47959" w:rsidRPr="00D35B87" w:rsidRDefault="00B47959" w:rsidP="00650EBA">
      <w:pPr>
        <w:pStyle w:val="Prembulo"/>
        <w:ind w:left="4962"/>
      </w:pPr>
      <w:r w:rsidRPr="00D35B87">
        <w:t>Responsável</w:t>
      </w:r>
      <w:r w:rsidR="003F5354" w:rsidRPr="00D35B87">
        <w:t xml:space="preserve">: </w:t>
      </w:r>
      <w:r w:rsidR="00D35B87" w:rsidRPr="00D35B87">
        <w:rPr>
          <w:b w:val="0"/>
        </w:rPr>
        <w:t>Alexandre Navarro Garcia</w:t>
      </w:r>
      <w:r w:rsidR="003F5354" w:rsidRPr="00D35B87">
        <w:rPr>
          <w:b w:val="0"/>
        </w:rPr>
        <w:t xml:space="preserve">, CPF </w:t>
      </w:r>
      <w:r w:rsidR="00D35B87" w:rsidRPr="00D35B87">
        <w:rPr>
          <w:b w:val="0"/>
        </w:rPr>
        <w:t>385.346.061-53</w:t>
      </w:r>
      <w:r w:rsidR="003F5354" w:rsidRPr="00D35B87">
        <w:rPr>
          <w:b w:val="0"/>
        </w:rPr>
        <w:t>.</w:t>
      </w:r>
    </w:p>
    <w:p w:rsidR="00B47959" w:rsidRPr="00B266A9" w:rsidRDefault="00B47959" w:rsidP="00650EBA">
      <w:pPr>
        <w:pStyle w:val="Prembulo"/>
        <w:ind w:left="4962"/>
      </w:pPr>
      <w:r w:rsidRPr="00B266A9">
        <w:t xml:space="preserve">Procurador ou Advogado: </w:t>
      </w:r>
      <w:r w:rsidR="008F2AB8">
        <w:rPr>
          <w:b w:val="0"/>
        </w:rPr>
        <w:t>não há.</w:t>
      </w:r>
    </w:p>
    <w:p w:rsidR="00B47959" w:rsidRPr="00B266A9" w:rsidRDefault="00B47959" w:rsidP="00650EBA">
      <w:pPr>
        <w:pStyle w:val="Prembulo"/>
        <w:ind w:left="4962"/>
        <w:rPr>
          <w:b w:val="0"/>
        </w:rPr>
      </w:pPr>
      <w:r w:rsidRPr="00B266A9">
        <w:t xml:space="preserve">Interessado em sustentação oral: </w:t>
      </w:r>
      <w:r w:rsidR="003F5354" w:rsidRPr="00B266A9">
        <w:rPr>
          <w:b w:val="0"/>
        </w:rPr>
        <w:t>não há.</w:t>
      </w:r>
    </w:p>
    <w:p w:rsidR="00B47959" w:rsidRPr="00B266A9" w:rsidRDefault="00B47959" w:rsidP="00650EBA">
      <w:pPr>
        <w:pStyle w:val="Prembulo"/>
        <w:ind w:left="4962"/>
        <w:rPr>
          <w:b w:val="0"/>
        </w:rPr>
      </w:pPr>
      <w:r w:rsidRPr="00B266A9">
        <w:t>Proposta</w:t>
      </w:r>
      <w:r w:rsidRPr="00477ED2">
        <w:t>:</w:t>
      </w:r>
      <w:r w:rsidRPr="00477ED2">
        <w:rPr>
          <w:b w:val="0"/>
        </w:rPr>
        <w:t xml:space="preserve"> </w:t>
      </w:r>
      <w:r w:rsidR="001531E2">
        <w:rPr>
          <w:b w:val="0"/>
        </w:rPr>
        <w:t>determinação, ofício de ciência e arquivamento</w:t>
      </w:r>
      <w:r w:rsidR="00477ED2" w:rsidRPr="00477ED2">
        <w:rPr>
          <w:b w:val="0"/>
        </w:rPr>
        <w:t>.</w:t>
      </w:r>
    </w:p>
    <w:p w:rsidR="00B47959" w:rsidRPr="00B266A9" w:rsidRDefault="00B47959" w:rsidP="00650EBA">
      <w:pPr>
        <w:pStyle w:val="Prembulo"/>
        <w:rPr>
          <w:color w:val="FF0000"/>
        </w:rPr>
      </w:pPr>
    </w:p>
    <w:p w:rsidR="00B47959" w:rsidRPr="00B266A9" w:rsidRDefault="00B47959" w:rsidP="00650EBA">
      <w:pPr>
        <w:pStyle w:val="Prembulo"/>
        <w:rPr>
          <w:color w:val="FF0000"/>
        </w:rPr>
      </w:pPr>
    </w:p>
    <w:p w:rsidR="00965A97" w:rsidRDefault="00965A97" w:rsidP="00650EBA">
      <w:pPr>
        <w:pStyle w:val="Ttulononumerado-1nvel"/>
      </w:pPr>
      <w:r w:rsidRPr="00D35B87">
        <w:t>Introdução</w:t>
      </w:r>
    </w:p>
    <w:p w:rsidR="004E662A" w:rsidRDefault="00D35B87" w:rsidP="00650EBA">
      <w:pPr>
        <w:pStyle w:val="Pargrafo-1nvel"/>
        <w:keepNext/>
      </w:pPr>
      <w:r w:rsidRPr="00D35B87">
        <w:t xml:space="preserve">Trata-se </w:t>
      </w:r>
      <w:r w:rsidR="00B879AA">
        <w:t xml:space="preserve">de auditoria realizada no Ministério da Integração Nacional (MI), no período compreendido entre 26/12/2011 e 3/2/2012, com o objetivo fiscalizar as obras do Projeto de Integração do Rio São Francisco com as bacias hidrográficas do Nordeste Setentrional (PISF) - Lote </w:t>
      </w:r>
      <w:proofErr w:type="gramStart"/>
      <w:r w:rsidR="00B879AA">
        <w:t>5</w:t>
      </w:r>
      <w:proofErr w:type="gramEnd"/>
      <w:r w:rsidR="00B879AA">
        <w:t>, especificamente o Edital de Concorrência nº 12011/2011-MI.</w:t>
      </w:r>
    </w:p>
    <w:p w:rsidR="00965A97" w:rsidRDefault="00965A97" w:rsidP="00650EBA">
      <w:pPr>
        <w:pStyle w:val="Ttulononumerado-1nvel"/>
      </w:pPr>
      <w:r>
        <w:t>Histórico</w:t>
      </w:r>
    </w:p>
    <w:p w:rsidR="004E662A" w:rsidRDefault="00615E7C" w:rsidP="00650EBA">
      <w:pPr>
        <w:pStyle w:val="Pargrafo-1nvel"/>
        <w:keepNext/>
      </w:pPr>
      <w:r w:rsidRPr="00615E7C">
        <w:t xml:space="preserve">O Lote </w:t>
      </w:r>
      <w:proofErr w:type="gramStart"/>
      <w:r w:rsidRPr="00615E7C">
        <w:t>5</w:t>
      </w:r>
      <w:proofErr w:type="gramEnd"/>
      <w:r w:rsidRPr="00615E7C">
        <w:t xml:space="preserve"> do Projeto de Integração do rio São Francisco com as bacias hidrográficas do Nordeste Setentrional (PISF), localizado no Eixo Norte, compreende, </w:t>
      </w:r>
      <w:r w:rsidR="008B4B96">
        <w:t>em linhas gerais</w:t>
      </w:r>
      <w:r w:rsidRPr="00615E7C">
        <w:t>, a execução de seis barragens</w:t>
      </w:r>
      <w:r w:rsidR="00B879AA">
        <w:t>,</w:t>
      </w:r>
      <w:r w:rsidRPr="00615E7C">
        <w:t xml:space="preserve"> Jati, Porcos, Cana Brava, Cipó, Boi I e Boi II</w:t>
      </w:r>
      <w:r w:rsidR="00B879AA">
        <w:t>,</w:t>
      </w:r>
      <w:r w:rsidRPr="00615E7C">
        <w:t xml:space="preserve"> e </w:t>
      </w:r>
      <w:r w:rsidR="00190197">
        <w:t xml:space="preserve">as </w:t>
      </w:r>
      <w:r w:rsidRPr="00615E7C">
        <w:t>obras de alteamento de uma barragem já existente</w:t>
      </w:r>
      <w:r w:rsidR="00B879AA">
        <w:t>,</w:t>
      </w:r>
      <w:r w:rsidRPr="00615E7C">
        <w:t xml:space="preserve"> Atalho. </w:t>
      </w:r>
    </w:p>
    <w:p w:rsidR="004E662A" w:rsidRDefault="00B879AA" w:rsidP="00650EBA">
      <w:pPr>
        <w:pStyle w:val="Pargrafo-1nvel"/>
        <w:keepNext/>
      </w:pPr>
      <w:r>
        <w:t>O</w:t>
      </w:r>
      <w:r w:rsidR="00615E7C" w:rsidRPr="00615E7C">
        <w:t xml:space="preserve"> Edital da Concorrência 12011/2011-MI</w:t>
      </w:r>
      <w:r>
        <w:t xml:space="preserve"> f</w:t>
      </w:r>
      <w:r w:rsidRPr="00615E7C">
        <w:t>oi publicado em 26/12/2011</w:t>
      </w:r>
      <w:r w:rsidR="00615E7C" w:rsidRPr="00615E7C">
        <w:t xml:space="preserve">, </w:t>
      </w:r>
      <w:r>
        <w:t>tendo como</w:t>
      </w:r>
      <w:r w:rsidRPr="00615E7C">
        <w:t xml:space="preserve"> </w:t>
      </w:r>
      <w:r w:rsidR="00615E7C" w:rsidRPr="00615E7C">
        <w:t xml:space="preserve">objeto a execução das obras civis, instalação, montagem, testes e comissionamento dos equipamentos mecânicos e elétricos do Lote </w:t>
      </w:r>
      <w:proofErr w:type="gramStart"/>
      <w:r w:rsidR="00615E7C" w:rsidRPr="00615E7C">
        <w:t>5</w:t>
      </w:r>
      <w:proofErr w:type="gramEnd"/>
      <w:r w:rsidR="00615E7C" w:rsidRPr="00615E7C">
        <w:t xml:space="preserve"> do PISF. O valor estimado para a contratação alcançou o montante de R$ 720.880.136,05 (data-base janeiro/2011).</w:t>
      </w:r>
      <w:r w:rsidR="00833A64">
        <w:t xml:space="preserve"> Ressalta-se que o edital encontrava-se suspenso, quando da conclusão do relatório de fiscalização, conforme publicação no Diário Oficial da União de 25/1/2012.</w:t>
      </w:r>
    </w:p>
    <w:p w:rsidR="004E662A" w:rsidRDefault="00615E7C" w:rsidP="00650EBA">
      <w:pPr>
        <w:pStyle w:val="Pargrafo-1nvel"/>
        <w:keepNext/>
      </w:pPr>
      <w:r w:rsidRPr="00615E7C">
        <w:t xml:space="preserve">Dada </w:t>
      </w:r>
      <w:proofErr w:type="gramStart"/>
      <w:r w:rsidRPr="00615E7C">
        <w:t>a</w:t>
      </w:r>
      <w:proofErr w:type="gramEnd"/>
      <w:r w:rsidRPr="00615E7C">
        <w:t xml:space="preserve"> importância socioeconômica do empreendimento e o elevado vulto do investimento, realizou-se auditoria no Ministério da Integração Nacional (MI), </w:t>
      </w:r>
      <w:r w:rsidR="007E3C47">
        <w:t>com o objetivo específico de examinar a conformidade dos atos praticados no âmbito do referido procedimento licitatório</w:t>
      </w:r>
      <w:r w:rsidRPr="00615E7C">
        <w:t>.</w:t>
      </w:r>
    </w:p>
    <w:p w:rsidR="004E662A" w:rsidRDefault="00615E7C" w:rsidP="00650EBA">
      <w:pPr>
        <w:pStyle w:val="Pargrafo-1nvel"/>
        <w:keepNext/>
      </w:pPr>
      <w:r w:rsidRPr="00615E7C">
        <w:t>Como produto da referida fiscalização, foi elaborado Relatório de Auditoria (</w:t>
      </w:r>
      <w:r w:rsidR="009937A7" w:rsidRPr="009937A7">
        <w:t>peça 41</w:t>
      </w:r>
      <w:r w:rsidRPr="00615E7C">
        <w:t>), que apontou as seguintes irregularidades:</w:t>
      </w:r>
    </w:p>
    <w:p w:rsidR="004E662A" w:rsidRDefault="00872E53" w:rsidP="00650EBA">
      <w:pPr>
        <w:pStyle w:val="Pargrafo-1nvel"/>
        <w:keepNext/>
        <w:numPr>
          <w:ilvl w:val="0"/>
          <w:numId w:val="0"/>
        </w:numPr>
        <w:tabs>
          <w:tab w:val="clear" w:pos="1134"/>
        </w:tabs>
        <w:autoSpaceDE w:val="0"/>
        <w:autoSpaceDN w:val="0"/>
        <w:adjustRightInd w:val="0"/>
        <w:ind w:left="851" w:hanging="284"/>
      </w:pPr>
      <w:r w:rsidRPr="00615E7C">
        <w:t>a) sobrepreço decorrente de preços excessivos frente ao mercado (IG-C);</w:t>
      </w:r>
    </w:p>
    <w:p w:rsidR="004E662A" w:rsidRDefault="00872E53" w:rsidP="00650EBA">
      <w:pPr>
        <w:pStyle w:val="Pargrafo-1nvel"/>
        <w:keepNext/>
        <w:numPr>
          <w:ilvl w:val="0"/>
          <w:numId w:val="0"/>
        </w:numPr>
        <w:tabs>
          <w:tab w:val="clear" w:pos="1134"/>
        </w:tabs>
        <w:autoSpaceDE w:val="0"/>
        <w:autoSpaceDN w:val="0"/>
        <w:adjustRightInd w:val="0"/>
        <w:ind w:left="851" w:hanging="284"/>
      </w:pPr>
      <w:r w:rsidRPr="00615E7C">
        <w:t>b) restrição à competitividade da licitação decorrente de critérios inadequados de habilitação (IG-C);</w:t>
      </w:r>
    </w:p>
    <w:p w:rsidR="004E662A" w:rsidRDefault="00872E53" w:rsidP="00650EBA">
      <w:pPr>
        <w:pStyle w:val="Pargrafo-1nvel"/>
        <w:keepNext/>
        <w:numPr>
          <w:ilvl w:val="0"/>
          <w:numId w:val="0"/>
        </w:numPr>
        <w:tabs>
          <w:tab w:val="clear" w:pos="1134"/>
        </w:tabs>
        <w:autoSpaceDE w:val="0"/>
        <w:autoSpaceDN w:val="0"/>
        <w:adjustRightInd w:val="0"/>
        <w:ind w:left="851" w:hanging="284"/>
      </w:pPr>
      <w:r w:rsidRPr="00615E7C">
        <w:t>c) quantitativos inadequados na planilha orçamentária (OI);</w:t>
      </w:r>
    </w:p>
    <w:p w:rsidR="004E662A" w:rsidRDefault="00872E53" w:rsidP="00650EBA">
      <w:pPr>
        <w:pStyle w:val="Pargrafo-1nvel"/>
        <w:keepNext/>
        <w:numPr>
          <w:ilvl w:val="0"/>
          <w:numId w:val="0"/>
        </w:numPr>
        <w:tabs>
          <w:tab w:val="clear" w:pos="1134"/>
        </w:tabs>
        <w:autoSpaceDE w:val="0"/>
        <w:autoSpaceDN w:val="0"/>
        <w:adjustRightInd w:val="0"/>
        <w:ind w:left="851" w:hanging="284"/>
      </w:pPr>
      <w:r w:rsidRPr="00615E7C">
        <w:t>d) deficiência nos levantamentos que fundamentam a elaboração do projeto executivo (OI);</w:t>
      </w:r>
    </w:p>
    <w:p w:rsidR="004E662A" w:rsidRDefault="00872E53" w:rsidP="00650EBA">
      <w:pPr>
        <w:pStyle w:val="Pargrafo-1nvel"/>
        <w:keepNext/>
        <w:numPr>
          <w:ilvl w:val="0"/>
          <w:numId w:val="0"/>
        </w:numPr>
        <w:tabs>
          <w:tab w:val="clear" w:pos="1134"/>
        </w:tabs>
        <w:autoSpaceDE w:val="0"/>
        <w:autoSpaceDN w:val="0"/>
        <w:adjustRightInd w:val="0"/>
        <w:ind w:left="851" w:hanging="284"/>
      </w:pPr>
      <w:r w:rsidRPr="00615E7C">
        <w:t>e) orçamento em desconformidade com as disposições da lei de diretrizes orçamentárias (OI).</w:t>
      </w:r>
    </w:p>
    <w:p w:rsidR="004E662A" w:rsidRDefault="004E662A" w:rsidP="00650EBA">
      <w:pPr>
        <w:pStyle w:val="Pargrafo-1nvel"/>
        <w:keepNext/>
        <w:numPr>
          <w:ilvl w:val="0"/>
          <w:numId w:val="0"/>
        </w:numPr>
        <w:tabs>
          <w:tab w:val="clear" w:pos="1134"/>
        </w:tabs>
        <w:autoSpaceDE w:val="0"/>
        <w:autoSpaceDN w:val="0"/>
        <w:adjustRightInd w:val="0"/>
        <w:ind w:left="851" w:hanging="284"/>
        <w:rPr>
          <w:color w:val="0000FF"/>
        </w:rPr>
      </w:pPr>
    </w:p>
    <w:p w:rsidR="004E662A" w:rsidRDefault="00872E53" w:rsidP="00650EBA">
      <w:pPr>
        <w:pStyle w:val="Pargrafo-1nvel"/>
        <w:keepNext/>
      </w:pPr>
      <w:r w:rsidRPr="00DB40B5">
        <w:lastRenderedPageBreak/>
        <w:t>Para a irregularidade tratada na alínea “a”, a equipe de auditoria apontou ocorrência de sobrepreço de R$ 29.082.754,56, no orçamento-base do Edital de Concorrência 12011/2011-MI, que representa 5,53% em relação ao preço total da amostra examinada e 4,20% em relação ao valor total do orçamento, expurgado o sobrepreço apurado. Essa falha decorre</w:t>
      </w:r>
      <w:r w:rsidR="007E3C47">
        <w:t>u</w:t>
      </w:r>
      <w:r w:rsidRPr="00DB40B5">
        <w:t>, em linhas gerais, da não realização de ajustes nas composições oficiais (Sicro e Sinapi), necessários à adequação dos preços adotados às especificações técnicas e critérios de pagamento.</w:t>
      </w:r>
    </w:p>
    <w:p w:rsidR="004E662A" w:rsidRDefault="00872E53" w:rsidP="00650EBA">
      <w:pPr>
        <w:pStyle w:val="Pargrafo-1nvel"/>
        <w:keepNext/>
      </w:pPr>
      <w:r w:rsidRPr="00DB40B5">
        <w:t>Com relação à restrição à competitividade da licitação (alínea “b”), foram constatados critérios inadequados de habilitação, em dois itens principais: vedação à formação de consórcios, sem a devida motivação e vedação ao somatório de atestados para fins de comprovação de experiência anterior.</w:t>
      </w:r>
    </w:p>
    <w:p w:rsidR="004E662A" w:rsidRDefault="00872E53" w:rsidP="00650EBA">
      <w:pPr>
        <w:pStyle w:val="Pargrafo-1nvel"/>
        <w:keepNext/>
      </w:pPr>
      <w:r w:rsidRPr="00DB40B5">
        <w:t xml:space="preserve">No que se refere às irregularidades das alíneas “a” e “b”, restaram demonstrados a fumaça do bom direito e o perigo da demora, </w:t>
      </w:r>
      <w:r w:rsidR="007E3C47">
        <w:t>os quais constituem</w:t>
      </w:r>
      <w:r w:rsidRPr="00DB40B5">
        <w:t xml:space="preserve"> os requisitos ensejadores da concessão de medida cautelar. Desse modo, propôs-se que fosse determinado ao Ministério da Integração, cautelarmente, que se abstivesse de promover a reabertura do procedimento licitatório até a deliberação definitiva sobre a matéria por parte do TCU ou </w:t>
      </w:r>
      <w:r w:rsidR="007E3C47">
        <w:t>a adoção</w:t>
      </w:r>
      <w:r w:rsidRPr="00DB40B5">
        <w:t xml:space="preserve"> </w:t>
      </w:r>
      <w:r w:rsidR="007E3C47">
        <w:t>d</w:t>
      </w:r>
      <w:r w:rsidRPr="00DB40B5">
        <w:t xml:space="preserve">as seguintes medidas </w:t>
      </w:r>
      <w:r w:rsidR="007E3C47">
        <w:t>saneadoras</w:t>
      </w:r>
      <w:r w:rsidRPr="00DB40B5">
        <w:t xml:space="preserve">: correção das irregularidades verificadas; republicação do edital com a adoção de limites máximos especificados no relatório para os preços unitários de 17 serviços; </w:t>
      </w:r>
      <w:r w:rsidR="007E3C47">
        <w:t xml:space="preserve">e </w:t>
      </w:r>
      <w:r w:rsidRPr="00DB40B5">
        <w:t>reabertura dos prazos para apresentação das propostas.</w:t>
      </w:r>
    </w:p>
    <w:p w:rsidR="004E662A" w:rsidRDefault="00872E53" w:rsidP="00650EBA">
      <w:pPr>
        <w:pStyle w:val="Pargrafo-1nvel"/>
        <w:keepNext/>
      </w:pPr>
      <w:r w:rsidRPr="00DB40B5">
        <w:t>Constatou-se ainda a irregularidade tratada na alínea “c”, referente a quantitativos inadequados na planilha orçamentária. Demonstrou-se que a quantidade prevista do serviço "momento de transporte de água" est</w:t>
      </w:r>
      <w:r w:rsidR="007E3C47">
        <w:t>ava</w:t>
      </w:r>
      <w:r w:rsidRPr="00DB40B5">
        <w:t xml:space="preserve"> inadequada e acarreta</w:t>
      </w:r>
      <w:r w:rsidR="007E3C47">
        <w:t>va</w:t>
      </w:r>
      <w:r w:rsidRPr="00DB40B5">
        <w:t xml:space="preserve"> superestimativa no orçamento total da obra, no montante de R$ 4.969.887,14. </w:t>
      </w:r>
      <w:r w:rsidR="007E3C47">
        <w:t>Dessa forma, a</w:t>
      </w:r>
      <w:r w:rsidRPr="00DB40B5">
        <w:t xml:space="preserve"> equipe de auditoria </w:t>
      </w:r>
      <w:r w:rsidR="007E3C47">
        <w:t>propôs que o Ministério da Integração Nacional fosse cientificado</w:t>
      </w:r>
      <w:r w:rsidR="007E3C47" w:rsidRPr="00DB40B5">
        <w:t xml:space="preserve"> </w:t>
      </w:r>
      <w:r w:rsidRPr="00DB40B5">
        <w:t xml:space="preserve">da falha apontada, </w:t>
      </w:r>
      <w:r w:rsidR="007E3C47">
        <w:t xml:space="preserve">para que a </w:t>
      </w:r>
      <w:proofErr w:type="gramStart"/>
      <w:r w:rsidR="007E3C47">
        <w:t>corrigisse,</w:t>
      </w:r>
      <w:proofErr w:type="gramEnd"/>
      <w:r w:rsidR="007E3C47">
        <w:t xml:space="preserve"> </w:t>
      </w:r>
      <w:r w:rsidRPr="00DB40B5">
        <w:t>já no novo edital e na nova planilha orçamentária, por ocasião da reabertura do certame licitatório.</w:t>
      </w:r>
    </w:p>
    <w:p w:rsidR="004E662A" w:rsidRDefault="00872E53" w:rsidP="00650EBA">
      <w:pPr>
        <w:pStyle w:val="Pargrafo-1nvel"/>
        <w:keepNext/>
      </w:pPr>
      <w:r w:rsidRPr="00DB40B5">
        <w:t>A irregularidade apontada na alínea “d” ficou evidenciada pela constatação de que o projeto executivo do Edital da Concorrência 12011/2011-MI apresenta</w:t>
      </w:r>
      <w:r w:rsidR="00833A64">
        <w:t>va</w:t>
      </w:r>
      <w:r w:rsidRPr="00DB40B5">
        <w:t xml:space="preserve"> deficiências nos estudos técnicos preliminares, especificamente quanto à ausência de atualização do projeto de adequação do vertedouro da barragem Atalho e à insuficiência de justificativas técnicas para a definição do quantitativo de escavações em material de 3ª categoria a fogo controlado.</w:t>
      </w:r>
    </w:p>
    <w:p w:rsidR="004E662A" w:rsidRDefault="00872E53" w:rsidP="00650EBA">
      <w:pPr>
        <w:pStyle w:val="Pargrafo-1nvel"/>
        <w:keepNext/>
      </w:pPr>
      <w:r w:rsidRPr="00DB40B5">
        <w:t>Nesse sentido, a equipe de auditoria propôs dois encaminhamentos: i) determinação ao MI, para que finaliz</w:t>
      </w:r>
      <w:r w:rsidR="00833A64">
        <w:t>ass</w:t>
      </w:r>
      <w:r w:rsidRPr="00DB40B5">
        <w:t xml:space="preserve">e atualizações de projeto das obras de adaptação do vertedor da Barragem de Atalho, no prazo de 300 dias, promovendo licitação específica para a execução dos serviços; </w:t>
      </w:r>
      <w:proofErr w:type="gramStart"/>
      <w:r w:rsidRPr="00DB40B5">
        <w:t>ii</w:t>
      </w:r>
      <w:proofErr w:type="gramEnd"/>
      <w:r w:rsidRPr="00DB40B5">
        <w:t xml:space="preserve">) </w:t>
      </w:r>
      <w:r w:rsidR="00833A64">
        <w:t xml:space="preserve">encaminhamento do relatório ao MI para que </w:t>
      </w:r>
      <w:r w:rsidRPr="00DB40B5">
        <w:t>retifica</w:t>
      </w:r>
      <w:r w:rsidR="00833A64">
        <w:t>sse</w:t>
      </w:r>
      <w:r w:rsidRPr="00DB40B5">
        <w:t xml:space="preserve"> desde logo a irregularidade referente ao quantitativo de escavações em material de 3ª categoria a fogo controlado, já no novo edital e na nova planilha orçamentária, por ocasião da reabertura do certame licitatório.</w:t>
      </w:r>
    </w:p>
    <w:p w:rsidR="004E662A" w:rsidRDefault="00872E53" w:rsidP="00650EBA">
      <w:pPr>
        <w:pStyle w:val="Pargrafo-1nvel"/>
        <w:keepNext/>
      </w:pPr>
      <w:r w:rsidRPr="00DB40B5">
        <w:t>No que se refere à irregularidade apontada na alínea “e”, verificou-se a inexistência de anotação de responsabilidade técnica (ART) pelas planilhas orçamentárias, em desacordo com o disposto na LDO/2012. Para tanto, prop</w:t>
      </w:r>
      <w:r w:rsidR="008B4B96">
        <w:t>ô</w:t>
      </w:r>
      <w:r w:rsidR="00224E6B">
        <w:t>s</w:t>
      </w:r>
      <w:r w:rsidRPr="00DB40B5">
        <w:t>-se determinar ao Ministério da Integração Nacional para que, no prazo de</w:t>
      </w:r>
      <w:r w:rsidR="00224E6B">
        <w:t xml:space="preserve"> </w:t>
      </w:r>
      <w:r w:rsidRPr="00DB40B5">
        <w:t>30 dias, providenci</w:t>
      </w:r>
      <w:r w:rsidR="00224E6B">
        <w:t>ass</w:t>
      </w:r>
      <w:r w:rsidRPr="00DB40B5">
        <w:t>e a anotação de responsabilidade técnica (ART) pelas planilhas orçamentárias do orçamento base da licitação.</w:t>
      </w:r>
    </w:p>
    <w:p w:rsidR="004E662A" w:rsidRDefault="00224E6B" w:rsidP="00650EBA">
      <w:pPr>
        <w:pStyle w:val="Pargrafo-1nvel"/>
        <w:keepNext/>
      </w:pPr>
      <w:r>
        <w:t xml:space="preserve">Quando o processo se encontrava no Gabinete do Relator, após a conclusão da fiscalização, </w:t>
      </w:r>
      <w:r w:rsidR="00AF0A39">
        <w:t>foi encaminhada a esta unidade técnica o processo TC 001.814/2012-5, o qual cuidava de representaç</w:t>
      </w:r>
      <w:r w:rsidR="00857BAA">
        <w:t>ões</w:t>
      </w:r>
      <w:r w:rsidR="00AF0A39">
        <w:t xml:space="preserve"> formulada</w:t>
      </w:r>
      <w:r w:rsidR="00857BAA">
        <w:t>s</w:t>
      </w:r>
      <w:r w:rsidR="00AF0A39">
        <w:t xml:space="preserve"> pela empresa Construtora Aterpa M. Martins S/A, </w:t>
      </w:r>
      <w:r w:rsidR="00857BAA">
        <w:t xml:space="preserve">pelo Sr. Caio Júlio César Brandão Pinto e pela Construtora Ferreira Guedes S/A, </w:t>
      </w:r>
      <w:r w:rsidR="00AF0A39">
        <w:t>com fundamento no art. 113, §1°, da Lei 8.666, de 21 de junho de 1993, e 237, inciso VII, do Regimento Interno do Tribunal de Contas da União (RITCU), contra supostas irregularidades no Edital de Concorrência 12011/2011-MI</w:t>
      </w:r>
      <w:r w:rsidR="00EF72EA">
        <w:t>, objeto da presente fiscalização</w:t>
      </w:r>
      <w:r w:rsidR="00AF0A39">
        <w:t>.</w:t>
      </w:r>
      <w:r w:rsidR="00857BAA">
        <w:t xml:space="preserve"> Registra-se que as duas últimas representações constituíram os </w:t>
      </w:r>
      <w:r w:rsidR="00857BAA">
        <w:lastRenderedPageBreak/>
        <w:t>processos TC 001.735/2012-8 e TC 001.915/2012-6, os quais haviam sido apensad</w:t>
      </w:r>
      <w:r w:rsidR="00EF72EA">
        <w:t>o</w:t>
      </w:r>
      <w:r w:rsidR="00857BAA">
        <w:t>s ao TC 001.814/2012-5, por ordem do Ministro-Relator</w:t>
      </w:r>
      <w:r w:rsidR="00EF72EA">
        <w:t>.</w:t>
      </w:r>
    </w:p>
    <w:p w:rsidR="004E662A" w:rsidRDefault="00EF72EA" w:rsidP="00650EBA">
      <w:pPr>
        <w:pStyle w:val="Pargrafo-1nvel"/>
        <w:keepNext/>
      </w:pPr>
      <w:r>
        <w:t>Debruçando-se sobre as peças enviadas, as quais envolviam questões semelhantes às tratadas na auditoria, esta unidade técnica alvitrou, em linha de concordância com a proposta contida no relatório de fiscalização, que o MI se abstivesse de dar continuidade ao procedimento licitatório relativo ao Edital de Concorrência 12011/2011-MI, até que esta Corte de Contas deliberasse de forma definitiva sobre a matéria, ou até que fossem adotadas as seguintes medidas corretivas: exclusão da restrição à participação de empresas sob a forma de consórcio (itens 5.2 e 5.6 "g" do Edital de Concorrência 12011/2011-MI); exclusão da vedação ao somatório de atestados para fins de comprovação de experiência anterior (item 7.1.5.3 "d" do Edital de Concorrência 12011/2011-MI); alteração no critério de julgamento relativo à comprovação de experiência anterior na execução do serviço "fabricação e lançamento de concreto estrutural - fck ≥ 25 MPa" (item 7.1.5.3 "c" do Edital de Concorrência 12011/2011-MI), permitindo a comprovação por meio de atestados relativos à experiência anterior na fabricação e lançamento de concreto estrutural com fck = 20 MPa; e republicação do edital e abertura de novo prazo para apresentação das propostas.</w:t>
      </w:r>
    </w:p>
    <w:p w:rsidR="004E662A" w:rsidRDefault="00EF72EA" w:rsidP="00650EBA">
      <w:pPr>
        <w:pStyle w:val="Pargrafo-1nvel"/>
        <w:keepNext/>
      </w:pPr>
      <w:r>
        <w:t>Na oportunidade, foi proposto o apensamento do processo ao TC 037.773/2011-9, para análise em conjunto e em confronto.</w:t>
      </w:r>
      <w:r w:rsidR="003E734E">
        <w:t xml:space="preserve"> Em linha de concordância, o Ministro Relator lavrou o despacho </w:t>
      </w:r>
      <w:r w:rsidR="00C524FF">
        <w:t>de que cuida a peça 34 do TC 001.814/2012-5, tendo sido ordenada a referida medida processual, para evitar a duplicidade de esforços, nos termos dos arts. 33, 34 e 36, caput, da Resolução TCU 191, de 21 de junho de 2006.</w:t>
      </w:r>
    </w:p>
    <w:p w:rsidR="004E662A" w:rsidRDefault="00615E7C" w:rsidP="00650EBA">
      <w:pPr>
        <w:pStyle w:val="Pargrafo-1nvel"/>
        <w:keepNext/>
      </w:pPr>
      <w:r w:rsidRPr="00615E7C">
        <w:t xml:space="preserve">Dando seguimento ao rito processual, o Exmo. </w:t>
      </w:r>
      <w:proofErr w:type="gramStart"/>
      <w:r w:rsidR="00E20F5B">
        <w:t>Sr.</w:t>
      </w:r>
      <w:proofErr w:type="gramEnd"/>
      <w:r w:rsidR="00E20F5B">
        <w:t xml:space="preserve"> </w:t>
      </w:r>
      <w:r w:rsidRPr="00615E7C">
        <w:t>Ministro</w:t>
      </w:r>
      <w:r>
        <w:t xml:space="preserve"> </w:t>
      </w:r>
      <w:r w:rsidRPr="00615E7C">
        <w:t xml:space="preserve">Relator </w:t>
      </w:r>
      <w:r w:rsidR="00E20F5B" w:rsidRPr="00E20F5B">
        <w:t xml:space="preserve">Raimundo </w:t>
      </w:r>
      <w:r w:rsidR="006821AB" w:rsidRPr="006821AB">
        <w:t>Carreiro destacou, em seu voto (peça 47), que haviam sido publicados avisos no Diário Oficial da União (DOU), comunicando a reabertura da Concorrência e o recebimento das propostas para 26/4/2012, em 8/3/2012 e 27/3/2012. Por esse motivo, sugeriu a adoção das seguintes medidas, as quais foram acatadas n</w:t>
      </w:r>
      <w:r w:rsidR="006821AB">
        <w:t>o Acórdão 723/2012-</w:t>
      </w:r>
      <w:proofErr w:type="spellStart"/>
      <w:r w:rsidR="006821AB">
        <w:t>TCU-Plenário</w:t>
      </w:r>
      <w:proofErr w:type="spellEnd"/>
      <w:r w:rsidRPr="00615E7C">
        <w:t>:</w:t>
      </w:r>
    </w:p>
    <w:p w:rsidR="004E662A" w:rsidRDefault="00872E53" w:rsidP="00650EBA">
      <w:pPr>
        <w:pStyle w:val="Transcrio"/>
      </w:pPr>
      <w:r w:rsidRPr="00B266A9">
        <w:t xml:space="preserve">9.1. </w:t>
      </w:r>
      <w:proofErr w:type="gramStart"/>
      <w:r w:rsidRPr="00B266A9">
        <w:t>determinar</w:t>
      </w:r>
      <w:proofErr w:type="gramEnd"/>
      <w:r w:rsidRPr="00B266A9">
        <w:t xml:space="preserve"> ao Ministério da Integração Nacional (CNPJ 03.353.358/0001-96), com fundamento no art. 250, inciso II, do Regimento Interno do TCU, que informe ao Tribunal, no prazo improrrogável de 15 (quinze) dias, sobre as medidas adotadas para sanar as seguintes falhas identificadas no âmbito do Edital de Concorrência nº 12011/2011-MI, relativo à execução de obras civis, instalação, montagem, testes e comissionamento dos equipamentos mecânicos e elétricos do Lote 5, eixo Norte, do PISF:</w:t>
      </w:r>
    </w:p>
    <w:p w:rsidR="004E662A" w:rsidRDefault="00872E53" w:rsidP="00650EBA">
      <w:pPr>
        <w:pStyle w:val="Transcrio"/>
      </w:pPr>
      <w:r w:rsidRPr="00B266A9">
        <w:t>9.1.1. necessidade de adequação dos preços do orçamento-base da licitação aos de mercado, tomando como limites máximos os seguintes preços para os itens em que foram identificados sobrepreço:</w:t>
      </w:r>
    </w:p>
    <w:p w:rsidR="004E662A" w:rsidRDefault="00872E53" w:rsidP="00650EBA">
      <w:pPr>
        <w:pStyle w:val="Transcrio"/>
      </w:pPr>
      <w:r w:rsidRPr="00B266A9">
        <w:t>9.1.1.1. "Aterro compactado 2ª categoria", R$ 6,81/m³;</w:t>
      </w:r>
    </w:p>
    <w:p w:rsidR="004E662A" w:rsidRDefault="00872E53" w:rsidP="00650EBA">
      <w:pPr>
        <w:pStyle w:val="Transcrio"/>
      </w:pPr>
      <w:r w:rsidRPr="00B266A9">
        <w:t>9.1.1.2 "Filtros e transições finas horizontais de areia natural", R$ 31,19/m³;</w:t>
      </w:r>
    </w:p>
    <w:p w:rsidR="004E662A" w:rsidRDefault="00872E53" w:rsidP="00650EBA">
      <w:pPr>
        <w:pStyle w:val="Transcrio"/>
      </w:pPr>
      <w:r w:rsidRPr="00B266A9">
        <w:t>9.1.1.3. "Enrocamento de proteção", R$ 35,15/m³;</w:t>
      </w:r>
    </w:p>
    <w:p w:rsidR="004E662A" w:rsidRDefault="00872E53" w:rsidP="00650EBA">
      <w:pPr>
        <w:pStyle w:val="Transcrio"/>
      </w:pPr>
      <w:r w:rsidRPr="00B266A9">
        <w:t>9.1.1.4. "Aterro compactado 1ª categoria", R$ 4,25/m³;</w:t>
      </w:r>
    </w:p>
    <w:p w:rsidR="004E662A" w:rsidRDefault="00872E53" w:rsidP="00650EBA">
      <w:pPr>
        <w:pStyle w:val="Transcrio"/>
      </w:pPr>
      <w:r w:rsidRPr="00B266A9">
        <w:t>9.1.1.5. "Enrocamento compactado" e "enrocamento de arenito", R$ 9,47/m³;</w:t>
      </w:r>
    </w:p>
    <w:p w:rsidR="004E662A" w:rsidRDefault="00872E53" w:rsidP="00650EBA">
      <w:pPr>
        <w:pStyle w:val="Transcrio"/>
      </w:pPr>
      <w:r w:rsidRPr="00B266A9">
        <w:t>9.1.1.6. "Escavação de material de 3ª categoria a fogo controlado", R$ 53,10/m³;</w:t>
      </w:r>
    </w:p>
    <w:p w:rsidR="004E662A" w:rsidRDefault="00872E53" w:rsidP="00650EBA">
      <w:pPr>
        <w:pStyle w:val="Transcrio"/>
      </w:pPr>
      <w:r w:rsidRPr="00B266A9">
        <w:t>9.1.1.7. "Concreto estrutural 15 MPa - fabricação, transporte e lançamento", R$ 330,96/m³;</w:t>
      </w:r>
    </w:p>
    <w:p w:rsidR="004E662A" w:rsidRDefault="00872E53" w:rsidP="00650EBA">
      <w:pPr>
        <w:pStyle w:val="Transcrio"/>
      </w:pPr>
      <w:r w:rsidRPr="00B266A9">
        <w:t>9.1.1.8. "Concreto estrutural 25 MPa - fabricação, transporte e lançamento", R$ 373,16/m³;</w:t>
      </w:r>
    </w:p>
    <w:p w:rsidR="004E662A" w:rsidRDefault="00872E53" w:rsidP="00650EBA">
      <w:pPr>
        <w:pStyle w:val="Transcrio"/>
      </w:pPr>
      <w:r w:rsidRPr="00B266A9">
        <w:t>9.1.1.9. "Concreto estrutural 35 MPa - fabricação, transporte e lançamento", R$ 437,02/m³;</w:t>
      </w:r>
    </w:p>
    <w:p w:rsidR="004E662A" w:rsidRDefault="00872E53" w:rsidP="00650EBA">
      <w:pPr>
        <w:pStyle w:val="Transcrio"/>
      </w:pPr>
      <w:r w:rsidRPr="00B266A9">
        <w:t>9.1.1.10. "Concreto estrutural 20 MPa - fabricação, transporte e lançamento", R$ 335,06/m³;</w:t>
      </w:r>
    </w:p>
    <w:p w:rsidR="004E662A" w:rsidRDefault="00872E53" w:rsidP="00650EBA">
      <w:pPr>
        <w:pStyle w:val="Transcrio"/>
      </w:pPr>
      <w:r w:rsidRPr="00B266A9">
        <w:t>9.1.1.11. "engenheiro sênior", R$ 17.189,59/mês;</w:t>
      </w:r>
    </w:p>
    <w:p w:rsidR="004E662A" w:rsidRDefault="00872E53" w:rsidP="00650EBA">
      <w:pPr>
        <w:pStyle w:val="Transcrio"/>
      </w:pPr>
      <w:r w:rsidRPr="00B266A9">
        <w:lastRenderedPageBreak/>
        <w:t>9.1.1.12. "ônibus transporte - 44 passageiros", R$ 9.756,01/mês;</w:t>
      </w:r>
    </w:p>
    <w:p w:rsidR="004E662A" w:rsidRDefault="00872E53" w:rsidP="00650EBA">
      <w:pPr>
        <w:pStyle w:val="Transcrio"/>
      </w:pPr>
      <w:r w:rsidRPr="00B266A9">
        <w:t>9.1.1.13. "Fôrma madeira compensada resinada 12mm p/ estrutura reaproveitamento 3x - corte/montagem/escoramento/desforma", R$ 74,70/m²;</w:t>
      </w:r>
    </w:p>
    <w:p w:rsidR="004E662A" w:rsidRDefault="00872E53" w:rsidP="00650EBA">
      <w:pPr>
        <w:pStyle w:val="Transcrio"/>
      </w:pPr>
      <w:r w:rsidRPr="00B266A9">
        <w:t>9.1.1.14. "engenheiro júnior", R$ 12.337,95/mês;</w:t>
      </w:r>
    </w:p>
    <w:p w:rsidR="004E662A" w:rsidRDefault="00872E53" w:rsidP="00650EBA">
      <w:pPr>
        <w:pStyle w:val="Transcrio"/>
      </w:pPr>
      <w:r w:rsidRPr="00B266A9">
        <w:t>9.1.1.15. "veículo 4x4 cabine dupla", R$ 5.481,51/mês;</w:t>
      </w:r>
    </w:p>
    <w:p w:rsidR="004E662A" w:rsidRDefault="00872E53" w:rsidP="00650EBA">
      <w:pPr>
        <w:pStyle w:val="Transcrio"/>
      </w:pPr>
      <w:r w:rsidRPr="00B266A9">
        <w:t>9.1.1.16. "veículo sedan - apoio", R$ 3.180,64/mês;</w:t>
      </w:r>
    </w:p>
    <w:p w:rsidR="004E662A" w:rsidRDefault="00872E53" w:rsidP="00650EBA">
      <w:pPr>
        <w:pStyle w:val="Transcrio"/>
      </w:pPr>
      <w:r w:rsidRPr="00B266A9">
        <w:t>9.1.1.17. "concreto estrutural 10 MPA - fabricação, transporte e lançamento", R$ 241,17/m³.</w:t>
      </w:r>
    </w:p>
    <w:p w:rsidR="004E662A" w:rsidRDefault="00872E53" w:rsidP="00650EBA">
      <w:pPr>
        <w:pStyle w:val="Transcrio"/>
      </w:pPr>
      <w:r w:rsidRPr="00B266A9">
        <w:t>9.1.2. restrição à participação de empresas sob a forma de consórcio (itens 5.2 e 5.6 do Edital de Concorrência 12011/2011-MI);</w:t>
      </w:r>
    </w:p>
    <w:p w:rsidR="004E662A" w:rsidRDefault="00872E53" w:rsidP="00650EBA">
      <w:pPr>
        <w:pStyle w:val="Transcrio"/>
      </w:pPr>
      <w:r w:rsidRPr="00B266A9">
        <w:t>9.1.3. vedação ao somatório de atestados para fins de comprovação de experiência anterior (item 7.1.5.3 "d" do Edital de Concorrência 12011/2011-MI);</w:t>
      </w:r>
    </w:p>
    <w:p w:rsidR="004E662A" w:rsidRDefault="00872E53" w:rsidP="00650EBA">
      <w:pPr>
        <w:pStyle w:val="Transcrio"/>
      </w:pPr>
      <w:r w:rsidRPr="00B61810">
        <w:t>9.1.4. necessidade de alteração no critério de julgamento relativo à comprovação de experiência</w:t>
      </w:r>
      <w:r>
        <w:t xml:space="preserve"> </w:t>
      </w:r>
      <w:r w:rsidRPr="00B61810">
        <w:t>anterior na execução do serviço "fabricação e lançamento de concreto estrutural - fck ≥ 25 MPa" (item 7.1.5.3 "c" do Edital de Concorrência 12011/2011-MI), permitindo a comprovação por meio de atestados relativos à experiência anterior na fabricação e lançamento de concreto estrutural com fck = 20 MPa</w:t>
      </w:r>
    </w:p>
    <w:p w:rsidR="004E662A" w:rsidRDefault="00872E53" w:rsidP="00650EBA">
      <w:pPr>
        <w:pStyle w:val="Transcrio"/>
      </w:pPr>
      <w:r w:rsidRPr="00B61810">
        <w:t>9.1.5. necessidade de realizar as seguintes alterações na planilha orçamentária das obras:</w:t>
      </w:r>
    </w:p>
    <w:p w:rsidR="004E662A" w:rsidRDefault="00872E53" w:rsidP="00650EBA">
      <w:pPr>
        <w:pStyle w:val="Transcrio"/>
      </w:pPr>
      <w:r w:rsidRPr="00B61810">
        <w:t>9.1.5.1. limitar o quantitativo do serviço "momento de transporte de água" ao máximo de</w:t>
      </w:r>
      <w:r>
        <w:t xml:space="preserve"> </w:t>
      </w:r>
      <w:r w:rsidRPr="00B61810">
        <w:t>11.185.316 m³xkm;</w:t>
      </w:r>
    </w:p>
    <w:p w:rsidR="004E662A" w:rsidRDefault="00872E53" w:rsidP="00650EBA">
      <w:pPr>
        <w:pStyle w:val="Transcrio"/>
      </w:pPr>
      <w:r w:rsidRPr="00B61810">
        <w:t>9.1.5.2. modificar o método de escavação de material de 3ª categoria na região das barragens e</w:t>
      </w:r>
      <w:r>
        <w:t xml:space="preserve"> </w:t>
      </w:r>
      <w:r w:rsidRPr="00B61810">
        <w:t>dos reservatórios, adotando como preço de referência aquele adotado para o serviço de "escavação de material de 3ª categoria, carga e transporte até 1,00 km";</w:t>
      </w:r>
    </w:p>
    <w:p w:rsidR="004E662A" w:rsidRDefault="00872E53" w:rsidP="00650EBA">
      <w:pPr>
        <w:pStyle w:val="Transcrio"/>
      </w:pPr>
      <w:r w:rsidRPr="00B61810">
        <w:t>9.1.6. finalização de atualizações de projeto das obras de adaptação do vertedor da Barragem de</w:t>
      </w:r>
      <w:r>
        <w:t xml:space="preserve"> </w:t>
      </w:r>
      <w:r w:rsidRPr="00B61810">
        <w:t>Atalho, no prazo de 30 (trinta) dias, promovendo licitação específica para a execução dos serviços, para que não sobrevenham danos às estruturas da barragem e às áreas à sua jusante, na eventualidade de eventos hidrológicos de grandes proporções;</w:t>
      </w:r>
    </w:p>
    <w:p w:rsidR="004E662A" w:rsidRDefault="00872E53" w:rsidP="00650EBA">
      <w:pPr>
        <w:pStyle w:val="Transcrio"/>
      </w:pPr>
      <w:r w:rsidRPr="00B61810">
        <w:t xml:space="preserve">9.1.7. </w:t>
      </w:r>
      <w:proofErr w:type="gramStart"/>
      <w:r w:rsidRPr="00B61810">
        <w:t>anotação</w:t>
      </w:r>
      <w:proofErr w:type="gramEnd"/>
      <w:r w:rsidRPr="00B61810">
        <w:t xml:space="preserve"> de responsabilidade técnica (ART) pelas planilhas orçamentárias do orçamento</w:t>
      </w:r>
      <w:r>
        <w:t xml:space="preserve"> </w:t>
      </w:r>
      <w:r w:rsidRPr="00B61810">
        <w:t>base da licitação, no prazo de 30 dias, em cumprimento ao art. 125, § 4°, da Lei nº 12.465/2011</w:t>
      </w:r>
      <w:r>
        <w:t xml:space="preserve"> </w:t>
      </w:r>
      <w:r w:rsidRPr="00B61810">
        <w:t>(LDO/2012).</w:t>
      </w:r>
    </w:p>
    <w:p w:rsidR="004E662A" w:rsidRDefault="008D3AB4" w:rsidP="00650EBA">
      <w:pPr>
        <w:pStyle w:val="Pargrafo-1nvel"/>
        <w:keepNext/>
      </w:pPr>
      <w:r>
        <w:rPr>
          <w:szCs w:val="24"/>
        </w:rPr>
        <w:t xml:space="preserve">Nesse contexto, deve-se </w:t>
      </w:r>
      <w:r>
        <w:t xml:space="preserve">destacar que, em 26/3/2012, foi juntado ao presente processo, uma quarta representação, formulada novamente pelo </w:t>
      </w:r>
      <w:proofErr w:type="gramStart"/>
      <w:r>
        <w:t>Sr.</w:t>
      </w:r>
      <w:proofErr w:type="gramEnd"/>
      <w:r>
        <w:t xml:space="preserve"> Caio Júlio César Brandão Pinto, contra o novo edital </w:t>
      </w:r>
      <w:r w:rsidRPr="00C524FF">
        <w:t>republicado</w:t>
      </w:r>
      <w:r w:rsidR="00930B7D">
        <w:t xml:space="preserve"> (peça 44)</w:t>
      </w:r>
      <w:r>
        <w:t>.</w:t>
      </w:r>
    </w:p>
    <w:p w:rsidR="004E662A" w:rsidRDefault="008D3AB4" w:rsidP="00650EBA">
      <w:pPr>
        <w:pStyle w:val="Pargrafo-1nvel"/>
        <w:keepNext/>
      </w:pPr>
      <w:r>
        <w:t xml:space="preserve">Em 25/4/2012, foi juntada aos autos a resposta formulada pelo Ministério da Integração Nacional, acerca </w:t>
      </w:r>
      <w:r w:rsidR="00C07D63">
        <w:t xml:space="preserve">das medidas adotadas pelo órgão </w:t>
      </w:r>
      <w:r w:rsidR="00C07D63" w:rsidRPr="00C07D63">
        <w:t>para sanar as falhas identificadas no Edital de Concorrência 12011/2011-MI</w:t>
      </w:r>
      <w:r w:rsidR="00C07D63">
        <w:t xml:space="preserve">, em cumprimento ao </w:t>
      </w:r>
      <w:r w:rsidR="00C07D63" w:rsidRPr="00615E7C">
        <w:t>Acórdão 723/2012–TCU–Plenário</w:t>
      </w:r>
      <w:r w:rsidR="00C07D63">
        <w:t xml:space="preserve"> (peças 59 a 63). </w:t>
      </w:r>
      <w:r>
        <w:t xml:space="preserve"> </w:t>
      </w:r>
    </w:p>
    <w:p w:rsidR="004E662A" w:rsidRDefault="00872E53" w:rsidP="00650EBA">
      <w:pPr>
        <w:pStyle w:val="Pargrafo-1nvel"/>
        <w:keepNext/>
      </w:pPr>
      <w:r w:rsidRPr="00DB40B5">
        <w:t xml:space="preserve">Assim, o objetivo principal desta instrução é analisar a resposta do Ministério da Integração Nacional, no que se refere </w:t>
      </w:r>
      <w:r w:rsidR="00C07D63">
        <w:t>à correção das irregularidades apontadas pelo Tribunal, nos termos do</w:t>
      </w:r>
      <w:r w:rsidRPr="00DB40B5">
        <w:t xml:space="preserve"> Acórdão 723/2012–</w:t>
      </w:r>
      <w:proofErr w:type="spellStart"/>
      <w:r w:rsidRPr="00DB40B5">
        <w:t>TCU–Plenário</w:t>
      </w:r>
      <w:proofErr w:type="spellEnd"/>
      <w:r w:rsidR="00C07D63">
        <w:t xml:space="preserve"> e os argumentos apresentados na última representação, formulada pelo </w:t>
      </w:r>
      <w:proofErr w:type="gramStart"/>
      <w:r w:rsidR="00C07D63">
        <w:t>Sr.</w:t>
      </w:r>
      <w:proofErr w:type="gramEnd"/>
      <w:r w:rsidR="00C07D63">
        <w:t xml:space="preserve"> Caio Júlio César Brandão Pinto, contra o novo edital </w:t>
      </w:r>
      <w:r w:rsidR="00C07D63" w:rsidRPr="00C524FF">
        <w:t>republicado</w:t>
      </w:r>
      <w:r w:rsidRPr="00DB40B5">
        <w:t>.</w:t>
      </w:r>
    </w:p>
    <w:p w:rsidR="00CD0AB5" w:rsidRDefault="00115744" w:rsidP="00650EBA">
      <w:pPr>
        <w:pStyle w:val="Ttulononumerado-1nvel"/>
      </w:pPr>
      <w:r>
        <w:t>Exame técnico</w:t>
      </w:r>
    </w:p>
    <w:p w:rsidR="004E662A" w:rsidRDefault="00930B7D" w:rsidP="00650EBA">
      <w:pPr>
        <w:pStyle w:val="Ttulonumerado-1nvel"/>
      </w:pPr>
      <w:r>
        <w:t>Representação interposta pelo Sr. Caio Júlio César Brandão Pinto</w:t>
      </w:r>
    </w:p>
    <w:p w:rsidR="004E662A" w:rsidRDefault="00662845" w:rsidP="00650EBA">
      <w:pPr>
        <w:pStyle w:val="Ttulonumerado-2nvel"/>
      </w:pPr>
      <w:r>
        <w:t xml:space="preserve">Argumentos </w:t>
      </w:r>
    </w:p>
    <w:p w:rsidR="004E662A" w:rsidRDefault="00D04C8F" w:rsidP="00650EBA">
      <w:pPr>
        <w:pStyle w:val="Pargrafo-1nvel"/>
        <w:keepNext/>
      </w:pPr>
      <w:r>
        <w:t>Acerca da nova representaç</w:t>
      </w:r>
      <w:r w:rsidR="00930B7D">
        <w:t>ão formulada (peça 44)</w:t>
      </w:r>
      <w:r w:rsidR="00C07D63">
        <w:t xml:space="preserve">, o Sr. Caio Júlio César Brandão Pinto se voltou </w:t>
      </w:r>
      <w:r>
        <w:t xml:space="preserve">contra o impedimento à participação de consórcios no novo edital republicado, </w:t>
      </w:r>
      <w:r>
        <w:lastRenderedPageBreak/>
        <w:t>tendo invocado</w:t>
      </w:r>
      <w:r w:rsidR="00930B7D">
        <w:t>, em síntese,</w:t>
      </w:r>
      <w:r>
        <w:t xml:space="preserve"> os mesmos argumentos  utilizados na representação de que cuida o processo TC 001.735/2012-8, apensado ao TC 001.814/2012-5, que por sua vez foi apensado ao presente processo.</w:t>
      </w:r>
      <w:r w:rsidR="00930B7D">
        <w:t xml:space="preserve"> Como elemento adicional, o representante acenou que seria uma contradição vedar a participação de consórcios e permitir a participação d</w:t>
      </w:r>
      <w:r w:rsidR="00662845">
        <w:t>a</w:t>
      </w:r>
      <w:r w:rsidR="00930B7D">
        <w:t xml:space="preserve"> empresa individual</w:t>
      </w:r>
      <w:r w:rsidR="00662845">
        <w:t xml:space="preserve"> prevista no </w:t>
      </w:r>
      <w:r w:rsidR="00930B7D" w:rsidRPr="00930B7D">
        <w:t>inciso VI ao art. 44</w:t>
      </w:r>
      <w:r w:rsidR="00930B7D">
        <w:t xml:space="preserve"> do Código Civil (dispositivo inserido pela Lei 12.441, de 11 de julho de 2011)</w:t>
      </w:r>
      <w:r w:rsidR="00662845">
        <w:t>. Nesse sentido, cumpre transcrever suas considerações.</w:t>
      </w:r>
      <w:r w:rsidR="00930B7D">
        <w:t xml:space="preserve"> </w:t>
      </w:r>
    </w:p>
    <w:p w:rsidR="004E662A" w:rsidRDefault="00662845" w:rsidP="00650EBA">
      <w:pPr>
        <w:pStyle w:val="Transcrio"/>
      </w:pPr>
      <w:r w:rsidRPr="00662845">
        <w:t xml:space="preserve">Portanto, surge no cenário das licitações em geral </w:t>
      </w:r>
      <w:r w:rsidR="00930B7D">
        <w:t>uma</w:t>
      </w:r>
      <w:r>
        <w:t xml:space="preserve"> </w:t>
      </w:r>
      <w:r w:rsidR="00930B7D">
        <w:t>contradição, tendo em vista o fato de o licitante poder impedir a associação de</w:t>
      </w:r>
      <w:r>
        <w:t xml:space="preserve"> </w:t>
      </w:r>
      <w:r w:rsidR="00930B7D">
        <w:t>duas ou mais empresas de grande porte, dispostas a somar experiências e</w:t>
      </w:r>
      <w:r>
        <w:t xml:space="preserve"> </w:t>
      </w:r>
      <w:r w:rsidR="00930B7D">
        <w:t xml:space="preserve">lastro financeiro, a </w:t>
      </w:r>
      <w:proofErr w:type="gramStart"/>
      <w:r w:rsidR="00930B7D">
        <w:t>par de acervo</w:t>
      </w:r>
      <w:proofErr w:type="gramEnd"/>
      <w:r w:rsidR="00930B7D">
        <w:t xml:space="preserve"> técnico expressivo e de responsabilidade</w:t>
      </w:r>
      <w:r>
        <w:t xml:space="preserve"> </w:t>
      </w:r>
      <w:r w:rsidR="00930B7D">
        <w:t>solidária, mas de não poder fazê-lo no tocante a empresa constituída por uma</w:t>
      </w:r>
      <w:r>
        <w:t xml:space="preserve"> </w:t>
      </w:r>
      <w:r w:rsidR="00930B7D">
        <w:t>só pessoa, que estará sempre livre, leve e solta para ingressar nas</w:t>
      </w:r>
      <w:r>
        <w:t xml:space="preserve"> </w:t>
      </w:r>
      <w:r w:rsidR="00930B7D">
        <w:t>concorrências públicas em geral, desde que atendidas as condições do edital</w:t>
      </w:r>
      <w:r>
        <w:t>.</w:t>
      </w:r>
    </w:p>
    <w:p w:rsidR="004E662A" w:rsidRDefault="00D04C8F" w:rsidP="00650EBA">
      <w:pPr>
        <w:pStyle w:val="Pargrafo-1nvel"/>
        <w:keepNext/>
      </w:pPr>
      <w:r>
        <w:t xml:space="preserve"> Ademais, o representante trouxe quest</w:t>
      </w:r>
      <w:r w:rsidR="00930B7D">
        <w:t>ões</w:t>
      </w:r>
      <w:r>
        <w:t xml:space="preserve"> nova</w:t>
      </w:r>
      <w:r w:rsidR="00930B7D">
        <w:t>s</w:t>
      </w:r>
      <w:r>
        <w:t xml:space="preserve">, tendo </w:t>
      </w:r>
      <w:r w:rsidR="00930B7D">
        <w:t xml:space="preserve">apontado as seguintes irregularidades: </w:t>
      </w:r>
      <w:r>
        <w:t>a Licença de Instalação 438/2007, à qual se referenciava o edital, havia se expirado em 23/3/201</w:t>
      </w:r>
      <w:r w:rsidR="00AC7248">
        <w:t>1</w:t>
      </w:r>
      <w:r w:rsidR="00930B7D">
        <w:t>; a cláusula 7.1.5.4.1 do edital exigia a d</w:t>
      </w:r>
      <w:r w:rsidR="00930B7D" w:rsidRPr="00930B7D">
        <w:t>eclaração de procedência dos materiais a serem utilizados</w:t>
      </w:r>
      <w:r w:rsidR="00930B7D">
        <w:t xml:space="preserve"> na obra; e a cláusula 7.2.1.4 especificava que a licitante deveria preencher e apresentar formulários de composição de preços unitários</w:t>
      </w:r>
      <w:r w:rsidR="00930B7D" w:rsidRPr="00930B7D">
        <w:t xml:space="preserve"> para todos os itens das obras descritos nas </w:t>
      </w:r>
      <w:r w:rsidR="00930B7D">
        <w:t>p</w:t>
      </w:r>
      <w:r w:rsidR="00930B7D" w:rsidRPr="00930B7D">
        <w:t xml:space="preserve">lanilhas de </w:t>
      </w:r>
      <w:r w:rsidR="00930B7D">
        <w:t>p</w:t>
      </w:r>
      <w:r w:rsidR="00930B7D" w:rsidRPr="00930B7D">
        <w:t>reços</w:t>
      </w:r>
      <w:r w:rsidR="00930B7D">
        <w:t xml:space="preserve"> e para o BDI.</w:t>
      </w:r>
    </w:p>
    <w:p w:rsidR="004E662A" w:rsidRDefault="00662845" w:rsidP="00650EBA">
      <w:pPr>
        <w:pStyle w:val="Ttulonumerado-2nvel"/>
        <w:ind w:left="0" w:firstLine="0"/>
      </w:pPr>
      <w:r>
        <w:t>Análise dos Argumentos</w:t>
      </w:r>
    </w:p>
    <w:p w:rsidR="004E662A" w:rsidRDefault="00CF17D9" w:rsidP="00650EBA">
      <w:pPr>
        <w:pStyle w:val="Pargrafo-1nvel"/>
        <w:keepNext/>
      </w:pPr>
      <w:r>
        <w:t>No que se refere à participação de empresa</w:t>
      </w:r>
      <w:r w:rsidR="00BF5ED2">
        <w:t>s</w:t>
      </w:r>
      <w:r>
        <w:t xml:space="preserve"> individua</w:t>
      </w:r>
      <w:r w:rsidR="00BF5ED2">
        <w:t>is</w:t>
      </w:r>
      <w:r>
        <w:t xml:space="preserve">, </w:t>
      </w:r>
      <w:r w:rsidR="00BF5ED2">
        <w:t xml:space="preserve">é importante observar que elas estarão submetidas às mesmas exigências que as demais formas societárias. Assim, deverão apresentar seus atestados técnicos e demais documentos que comprovem qualificação </w:t>
      </w:r>
      <w:proofErr w:type="gramStart"/>
      <w:r w:rsidR="00BF5ED2">
        <w:t>técnica e econômica condizentes com o vulto do empreendimento e exigidos pelo edital da concorrência</w:t>
      </w:r>
      <w:r w:rsidR="00140535">
        <w:t>,</w:t>
      </w:r>
      <w:r w:rsidR="00BF5ED2">
        <w:t xml:space="preserve"> para fins de habilitação</w:t>
      </w:r>
      <w:proofErr w:type="gramEnd"/>
      <w:r w:rsidR="00BF5ED2">
        <w:t>. Nesse sentido</w:t>
      </w:r>
      <w:r w:rsidR="00983783">
        <w:t>, uma empresa individual</w:t>
      </w:r>
      <w:r w:rsidR="00BF5ED2">
        <w:t xml:space="preserve"> não configura risco para a boa e regular execução do objeto, tendo em vista que, </w:t>
      </w:r>
      <w:r w:rsidR="00140535">
        <w:t>caso sagre-se</w:t>
      </w:r>
      <w:r w:rsidR="00BF5ED2">
        <w:t xml:space="preserve"> vitoriosa, terá cumprido </w:t>
      </w:r>
      <w:r w:rsidR="00140535">
        <w:t xml:space="preserve">todos </w:t>
      </w:r>
      <w:r w:rsidR="00BF5ED2">
        <w:t>os requisitos de qualificação.</w:t>
      </w:r>
    </w:p>
    <w:p w:rsidR="00654002" w:rsidRDefault="00654002" w:rsidP="00650EBA">
      <w:pPr>
        <w:pStyle w:val="Pargrafo-1nvel"/>
        <w:keepNext/>
      </w:pPr>
      <w:r>
        <w:t>Em relação à Licença de Instalação, cabe dizer que a alegação do representante não procede. O referido documento foi renovado pelo IBAMA em 18/01/2012, com validade até 23/03/2013</w:t>
      </w:r>
      <w:r w:rsidRPr="004E2EF9">
        <w:t>.</w:t>
      </w:r>
      <w:r w:rsidR="006E1E78" w:rsidRPr="004E2EF9">
        <w:t xml:space="preserve"> (</w:t>
      </w:r>
      <w:r w:rsidR="006E1E78" w:rsidRPr="008903E4">
        <w:t>Vide</w:t>
      </w:r>
      <w:r w:rsidR="00D15D20" w:rsidRPr="008903E4">
        <w:t xml:space="preserve"> peça </w:t>
      </w:r>
      <w:r w:rsidR="008903E4" w:rsidRPr="008903E4">
        <w:t>64</w:t>
      </w:r>
      <w:r w:rsidR="006E1E78" w:rsidRPr="008903E4">
        <w:t xml:space="preserve"> </w:t>
      </w:r>
      <w:r w:rsidR="004E2EF9" w:rsidRPr="008903E4">
        <w:t xml:space="preserve">– </w:t>
      </w:r>
      <w:r w:rsidR="006E1E78" w:rsidRPr="008903E4">
        <w:t>Renovação</w:t>
      </w:r>
      <w:r w:rsidR="006E1E78" w:rsidRPr="004E2EF9">
        <w:t xml:space="preserve"> da Li</w:t>
      </w:r>
      <w:r w:rsidR="004E2EF9">
        <w:t>cença de Instalação Nº 438/2007</w:t>
      </w:r>
      <w:r w:rsidR="006E1E78" w:rsidRPr="004E2EF9">
        <w:t>).</w:t>
      </w:r>
    </w:p>
    <w:p w:rsidR="00525722" w:rsidRDefault="00525722" w:rsidP="00650EBA">
      <w:pPr>
        <w:pStyle w:val="Pargrafo-1nvel"/>
        <w:keepNext/>
      </w:pPr>
      <w:r>
        <w:t>Para a exigência 7.1.5.4.1</w:t>
      </w:r>
      <w:r w:rsidR="00E31A14">
        <w:t xml:space="preserve"> do edital, cumpre salientar que possui objetivo de resguardar a qualidade dos materiais a serem aplicados na obra, bem como garantir a transparência dos custos unitários dos serviços contratados. </w:t>
      </w:r>
      <w:r w:rsidR="00A57B20">
        <w:t>Dessa forma, a exigência não afronta os princípios dos procedimentos licitatórios, insculpidos no art. 3º</w:t>
      </w:r>
      <w:r w:rsidR="00A57B20" w:rsidRPr="00A57B20">
        <w:t xml:space="preserve"> da Lei 8.666/1993</w:t>
      </w:r>
      <w:r w:rsidR="00A57B20">
        <w:t>, não tendo procedência a alegação do representante.</w:t>
      </w:r>
    </w:p>
    <w:p w:rsidR="00DB577C" w:rsidRDefault="00DB577C" w:rsidP="00650EBA">
      <w:pPr>
        <w:pStyle w:val="Pargrafo-1nvel"/>
        <w:keepNext/>
      </w:pPr>
      <w:r>
        <w:t xml:space="preserve">Para o detalhamento das composições de preços unitários e BDI, a jurisprudência do TCU é pacífica no sentido </w:t>
      </w:r>
      <w:r w:rsidR="007D19A4">
        <w:t>de que as contratações de obras e serviços de engenharia somente poderão ser licitadas quando existir orçamento detalhado contendo a composição analítica de todos os seus custos unitários, visando conferir transparência e a proporcionar melhores condições ao controle e à gestão contratual (</w:t>
      </w:r>
      <w:r w:rsidR="0043714B">
        <w:t>Acórdãos</w:t>
      </w:r>
      <w:r w:rsidR="007D19A4">
        <w:t xml:space="preserve"> 1.854/2009, 946/2007, 549/2006, 2.385/2006, 1.939/2007, 2.049/2008</w:t>
      </w:r>
      <w:r w:rsidR="0043714B">
        <w:t>, 1.045/2006, todos do Plenário</w:t>
      </w:r>
      <w:r w:rsidR="007D19A4">
        <w:t xml:space="preserve"> e </w:t>
      </w:r>
      <w:r w:rsidR="0043714B">
        <w:t xml:space="preserve">Acórdãos 374/2009 e </w:t>
      </w:r>
      <w:r w:rsidR="007D19A4">
        <w:t>463/2001</w:t>
      </w:r>
      <w:r w:rsidR="0043714B">
        <w:t xml:space="preserve">, da </w:t>
      </w:r>
      <w:r w:rsidR="007D19A4">
        <w:t>2ª Câmara</w:t>
      </w:r>
      <w:r w:rsidR="0043714B">
        <w:t>).</w:t>
      </w:r>
    </w:p>
    <w:p w:rsidR="00BD1053" w:rsidRDefault="00BD1053" w:rsidP="00650EBA">
      <w:pPr>
        <w:pStyle w:val="Pargrafo-1nvel"/>
        <w:keepNext/>
      </w:pPr>
      <w:r>
        <w:t>Por fim, no que concerne à vedação à participação de consórcios, opta-se em analisar a tese apresentada, de maneira conjunta com os argumentos apresentados pelo Ministério da Integração Nacional, em sua peça de defesa.</w:t>
      </w:r>
    </w:p>
    <w:p w:rsidR="00A72E13" w:rsidRDefault="00A72E13" w:rsidP="00650EBA">
      <w:pPr>
        <w:pStyle w:val="Ttulonumerado-1nvel"/>
        <w:ind w:left="0" w:firstLine="0"/>
      </w:pPr>
      <w:r>
        <w:t>Manifestação do Ministério da Integração Nacional</w:t>
      </w:r>
    </w:p>
    <w:p w:rsidR="00A72E13" w:rsidRDefault="00A72E13" w:rsidP="00650EBA">
      <w:pPr>
        <w:pStyle w:val="Pargrafo-1nvel"/>
        <w:keepNext/>
      </w:pPr>
      <w:r w:rsidRPr="00DB40B5">
        <w:t>O Ministério da Integração Nacional</w:t>
      </w:r>
      <w:r>
        <w:t xml:space="preserve"> (MI)</w:t>
      </w:r>
      <w:r w:rsidRPr="00DB40B5">
        <w:t xml:space="preserve"> apresentou sua resposta</w:t>
      </w:r>
      <w:r>
        <w:t xml:space="preserve"> por meio do Aviso Nº 57/MI de 18</w:t>
      </w:r>
      <w:r w:rsidRPr="00DB40B5">
        <w:t>/</w:t>
      </w:r>
      <w:r>
        <w:t>04</w:t>
      </w:r>
      <w:r w:rsidRPr="00DB40B5">
        <w:t>/</w:t>
      </w:r>
      <w:r>
        <w:t xml:space="preserve">2012 e seus anexos, </w:t>
      </w:r>
      <w:r w:rsidRPr="00DB40B5">
        <w:t>acostad</w:t>
      </w:r>
      <w:r>
        <w:t>os</w:t>
      </w:r>
      <w:r w:rsidRPr="00DB40B5">
        <w:t xml:space="preserve"> aos autos nas peças </w:t>
      </w:r>
      <w:r>
        <w:t>59</w:t>
      </w:r>
      <w:r w:rsidRPr="00DB40B5">
        <w:t xml:space="preserve"> </w:t>
      </w:r>
      <w:r>
        <w:t>a</w:t>
      </w:r>
      <w:r w:rsidRPr="00DB40B5">
        <w:t xml:space="preserve"> </w:t>
      </w:r>
      <w:r>
        <w:t>63</w:t>
      </w:r>
      <w:r w:rsidRPr="00DB40B5">
        <w:t xml:space="preserve">. </w:t>
      </w:r>
      <w:r>
        <w:t xml:space="preserve">O órgão afirma no </w:t>
      </w:r>
      <w:r>
        <w:lastRenderedPageBreak/>
        <w:t>referido documento o atendimento de todas as determinações, à exceção da abertura da licitação para participação de sociedades empresárias sob a forma de consórcio.</w:t>
      </w:r>
    </w:p>
    <w:p w:rsidR="00A72E13" w:rsidRDefault="00A72E13" w:rsidP="00650EBA">
      <w:pPr>
        <w:pStyle w:val="Pargrafo-1nvel"/>
        <w:keepNext/>
      </w:pPr>
      <w:r w:rsidRPr="00DB40B5">
        <w:t xml:space="preserve">A seguir, passa-se à análise </w:t>
      </w:r>
      <w:r>
        <w:t xml:space="preserve">da correção de cada uma </w:t>
      </w:r>
      <w:r w:rsidRPr="00DB40B5">
        <w:t xml:space="preserve">das </w:t>
      </w:r>
      <w:r>
        <w:t>irregularidades apontadas n</w:t>
      </w:r>
      <w:r w:rsidRPr="00DB40B5">
        <w:t>o Acórdão 723/2012</w:t>
      </w:r>
      <w:r>
        <w:t>-</w:t>
      </w:r>
      <w:proofErr w:type="spellStart"/>
      <w:r>
        <w:t>TCU-Plenário</w:t>
      </w:r>
      <w:proofErr w:type="spellEnd"/>
      <w:r>
        <w:t>.</w:t>
      </w:r>
    </w:p>
    <w:p w:rsidR="00A72E13" w:rsidRDefault="00A72E13" w:rsidP="00650EBA">
      <w:pPr>
        <w:pStyle w:val="Ttulonumerado-2nvel"/>
        <w:ind w:left="0" w:firstLine="0"/>
      </w:pPr>
      <w:r w:rsidRPr="00842084">
        <w:t>Anotação de responsabilidade técnica (ART) pelas planilhas orçamentárias do orçamento base da licitação</w:t>
      </w:r>
    </w:p>
    <w:p w:rsidR="00A72E13" w:rsidRDefault="00A72E13" w:rsidP="00650EBA">
      <w:pPr>
        <w:pStyle w:val="Pargrafo-1nvel"/>
        <w:keepNext/>
        <w:rPr>
          <w:szCs w:val="24"/>
        </w:rPr>
      </w:pPr>
      <w:r>
        <w:rPr>
          <w:szCs w:val="24"/>
        </w:rPr>
        <w:t>Sem merecer maior análise, verifica-se a correção da irregularidade, uma vez que a a</w:t>
      </w:r>
      <w:r w:rsidRPr="00C06F62">
        <w:rPr>
          <w:szCs w:val="24"/>
        </w:rPr>
        <w:t>notação de responsabilidade técnica (ART) pelas planilhas orçamentárias do orçamento base da licitação</w:t>
      </w:r>
      <w:r>
        <w:rPr>
          <w:szCs w:val="24"/>
        </w:rPr>
        <w:t xml:space="preserve"> foi incorporada aos autos. O documento foi inserido na peça 63, fl. 86.</w:t>
      </w:r>
    </w:p>
    <w:p w:rsidR="00A72E13" w:rsidRDefault="00A72E13" w:rsidP="00650EBA">
      <w:pPr>
        <w:pStyle w:val="Ttulonumerado-2nvel"/>
        <w:ind w:left="0" w:firstLine="0"/>
      </w:pPr>
      <w:r w:rsidRPr="000E215D">
        <w:t xml:space="preserve">Alteração no critério de julgamento relativo à comprovação de experiência anterior na execução do serviço "fabricação e lançamento de concreto estrutural - </w:t>
      </w:r>
      <w:proofErr w:type="spellStart"/>
      <w:r w:rsidRPr="000E215D">
        <w:t>fck</w:t>
      </w:r>
      <w:proofErr w:type="spellEnd"/>
      <w:r w:rsidRPr="000E215D">
        <w:t xml:space="preserve"> ≥ 25 </w:t>
      </w:r>
      <w:proofErr w:type="spellStart"/>
      <w:proofErr w:type="gramStart"/>
      <w:r w:rsidRPr="000E215D">
        <w:t>MPa</w:t>
      </w:r>
      <w:proofErr w:type="spellEnd"/>
      <w:proofErr w:type="gramEnd"/>
      <w:r w:rsidRPr="000E215D">
        <w:t>"</w:t>
      </w:r>
      <w:r>
        <w:t xml:space="preserve">, </w:t>
      </w:r>
      <w:r w:rsidRPr="006B63CA">
        <w:t xml:space="preserve">permitindo a comprovação por meio de atestados relativos à experiência anterior na fabricação e lançamento de concreto estrutural com </w:t>
      </w:r>
      <w:proofErr w:type="spellStart"/>
      <w:r w:rsidRPr="006B63CA">
        <w:t>fck</w:t>
      </w:r>
      <w:proofErr w:type="spellEnd"/>
      <w:r w:rsidRPr="006B63CA">
        <w:t xml:space="preserve"> = 20 </w:t>
      </w:r>
      <w:proofErr w:type="spellStart"/>
      <w:r w:rsidRPr="006B63CA">
        <w:t>MPa</w:t>
      </w:r>
      <w:proofErr w:type="spellEnd"/>
      <w:r>
        <w:t>.</w:t>
      </w:r>
    </w:p>
    <w:p w:rsidR="00A72E13" w:rsidRDefault="00A72E13" w:rsidP="00650EBA">
      <w:pPr>
        <w:pStyle w:val="Pargrafo-1nvel"/>
        <w:keepNext/>
      </w:pPr>
      <w:r>
        <w:t>A correção da irregularidade</w:t>
      </w:r>
      <w:r w:rsidRPr="00765591">
        <w:t xml:space="preserve"> é de verificação imediata pela leitura do item 7.1.5.3, alínea “c” do edital de licitação revisado pela gerenciadora (peça </w:t>
      </w:r>
      <w:r>
        <w:t>61</w:t>
      </w:r>
      <w:r w:rsidRPr="00765591">
        <w:t xml:space="preserve">, fl. </w:t>
      </w:r>
      <w:r>
        <w:t>22</w:t>
      </w:r>
      <w:r w:rsidRPr="00765591">
        <w:t xml:space="preserve">), na forma que segue: </w:t>
      </w:r>
      <w:r>
        <w:t>“Serão consideradas atividades pertinentes e compatíveis em características e quantidades com o objeto desta Licitação, as discriminadas a seguir” (...) “</w:t>
      </w:r>
      <w:r w:rsidRPr="00765591">
        <w:t xml:space="preserve">Fabricação e lançamento de concreto estrutural </w:t>
      </w:r>
      <w:r>
        <w:t>–</w:t>
      </w:r>
      <w:r w:rsidRPr="00765591">
        <w:t xml:space="preserve"> </w:t>
      </w:r>
      <w:proofErr w:type="spellStart"/>
      <w:r w:rsidRPr="00765591">
        <w:t>F</w:t>
      </w:r>
      <w:r>
        <w:t>ck</w:t>
      </w:r>
      <w:proofErr w:type="spellEnd"/>
      <w:r>
        <w:t xml:space="preserve"> ≥</w:t>
      </w:r>
      <w:r w:rsidRPr="00765591">
        <w:t xml:space="preserve"> 20 </w:t>
      </w:r>
      <w:proofErr w:type="spellStart"/>
      <w:proofErr w:type="gramStart"/>
      <w:r w:rsidRPr="00765591">
        <w:t>MPa</w:t>
      </w:r>
      <w:proofErr w:type="spellEnd"/>
      <w:proofErr w:type="gramEnd"/>
      <w:r>
        <w:t>”.</w:t>
      </w:r>
    </w:p>
    <w:p w:rsidR="00A72E13" w:rsidRDefault="00A72E13" w:rsidP="00650EBA">
      <w:pPr>
        <w:pStyle w:val="Pargrafo-1nvel"/>
        <w:keepNext/>
      </w:pPr>
      <w:r>
        <w:t xml:space="preserve">Dessa forma, avalia-se que os apontamentos do Tribunal acerca da presente questão foram atendidos, uma vez que a redação dada ao item pelo novo edital permite comprovação de experiência anterior do referido serviço com atestados relativos </w:t>
      </w:r>
      <w:proofErr w:type="gramStart"/>
      <w:r>
        <w:t>a</w:t>
      </w:r>
      <w:proofErr w:type="gramEnd"/>
      <w:r>
        <w:t xml:space="preserve"> </w:t>
      </w:r>
      <w:r w:rsidRPr="006B63CA">
        <w:t xml:space="preserve">fabricação e lançamento de concreto estrutural com </w:t>
      </w:r>
      <w:proofErr w:type="spellStart"/>
      <w:r w:rsidRPr="006B63CA">
        <w:t>fck</w:t>
      </w:r>
      <w:proofErr w:type="spellEnd"/>
      <w:r w:rsidRPr="006B63CA">
        <w:t xml:space="preserve"> = 20 </w:t>
      </w:r>
      <w:proofErr w:type="spellStart"/>
      <w:r w:rsidRPr="006B63CA">
        <w:t>MPa</w:t>
      </w:r>
      <w:proofErr w:type="spellEnd"/>
      <w:r>
        <w:t>.</w:t>
      </w:r>
    </w:p>
    <w:p w:rsidR="00A72E13" w:rsidRDefault="00A72E13" w:rsidP="00650EBA">
      <w:pPr>
        <w:pStyle w:val="Ttulonumerado-2nvel"/>
        <w:ind w:left="0" w:firstLine="0"/>
      </w:pPr>
      <w:r w:rsidRPr="000B2F6F">
        <w:t xml:space="preserve">Limitar o quantitativo do serviço "momento de transporte de água" ao máximo de 11.185.316 </w:t>
      </w:r>
      <w:proofErr w:type="spellStart"/>
      <w:r w:rsidRPr="000B2F6F">
        <w:t>m³xkm</w:t>
      </w:r>
      <w:proofErr w:type="spellEnd"/>
    </w:p>
    <w:p w:rsidR="00A72E13" w:rsidRDefault="00A72E13" w:rsidP="00650EBA">
      <w:pPr>
        <w:pStyle w:val="Ttulonumerado-3nvel"/>
      </w:pPr>
      <w:r>
        <w:t>Argumentos</w:t>
      </w:r>
    </w:p>
    <w:p w:rsidR="00A72E13" w:rsidRDefault="00A72E13" w:rsidP="00650EBA">
      <w:pPr>
        <w:pStyle w:val="Pargrafo-1nvel"/>
        <w:keepNext/>
      </w:pPr>
      <w:r>
        <w:t xml:space="preserve">Na Nota Técnica </w:t>
      </w:r>
      <w:r w:rsidRPr="006D7290">
        <w:t>64/2012/CGO</w:t>
      </w:r>
      <w:r>
        <w:t>C/</w:t>
      </w:r>
      <w:r w:rsidRPr="006D7290">
        <w:t>DPE/S</w:t>
      </w:r>
      <w:r w:rsidRPr="009374F0">
        <w:t xml:space="preserve">IH (peça 63, fls. </w:t>
      </w:r>
      <w:r>
        <w:t>90 a 92</w:t>
      </w:r>
      <w:r w:rsidRPr="009374F0">
        <w:t>)</w:t>
      </w:r>
      <w:r>
        <w:t>, o MI concorda com os apontamentos da equipe de auditoria do TCU, ao reconhecer que os quantitativos de momento de transporte de água do orçamento de obras civis e instalações complementares do edital estavam em desacordo com a última versão do projeto executivo.</w:t>
      </w:r>
    </w:p>
    <w:p w:rsidR="00A72E13" w:rsidRDefault="00A72E13" w:rsidP="00650EBA">
      <w:pPr>
        <w:pStyle w:val="Pargrafo-1nvel"/>
        <w:keepNext/>
      </w:pPr>
      <w:r>
        <w:t>Desse modo, afirma no mesmo documento que tomou as devidas providências para a compatibilização entre o edital de licitação e os valores definidos no projeto executivo.</w:t>
      </w:r>
    </w:p>
    <w:p w:rsidR="00A72E13" w:rsidRDefault="00A72E13" w:rsidP="00650EBA">
      <w:pPr>
        <w:pStyle w:val="Ttulonumerado-3nvel"/>
      </w:pPr>
      <w:r w:rsidRPr="007604F9">
        <w:t>Análise dos Argumentos</w:t>
      </w:r>
    </w:p>
    <w:p w:rsidR="00A72E13" w:rsidRDefault="00A72E13" w:rsidP="00650EBA">
      <w:pPr>
        <w:pStyle w:val="Pargrafo-1nvel"/>
        <w:keepNext/>
      </w:pPr>
      <w:r>
        <w:t>Em análise da planilha orçamentária atualizada (peça 61, fls. 153 a 212), constataram-se os seguintes quantitativos para momento de transporte de água:</w:t>
      </w:r>
    </w:p>
    <w:p w:rsidR="00A72E13" w:rsidRDefault="00A72E13" w:rsidP="00650EBA">
      <w:pPr>
        <w:pStyle w:val="Pargrafo-1nvel"/>
        <w:keepNext/>
        <w:numPr>
          <w:ilvl w:val="0"/>
          <w:numId w:val="0"/>
        </w:numPr>
      </w:pPr>
    </w:p>
    <w:p w:rsidR="00A72E13" w:rsidRDefault="00A72E13" w:rsidP="00650EBA">
      <w:pPr>
        <w:pStyle w:val="Pargrafo-1nvel"/>
        <w:keepNext/>
        <w:numPr>
          <w:ilvl w:val="0"/>
          <w:numId w:val="0"/>
        </w:numPr>
        <w:tabs>
          <w:tab w:val="clear" w:pos="1134"/>
        </w:tabs>
        <w:jc w:val="center"/>
      </w:pPr>
      <w:r>
        <w:object w:dxaOrig="3063" w:dyaOrig="32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75pt;height:164.05pt" o:ole="">
            <v:imagedata r:id="rId7" o:title=""/>
          </v:shape>
          <o:OLEObject Type="Embed" ProgID="Excel.Sheet.12" ShapeID="_x0000_i1025" DrawAspect="Content" ObjectID="_1398493455" r:id="rId8"/>
        </w:object>
      </w:r>
    </w:p>
    <w:p w:rsidR="00A72E13" w:rsidRDefault="00A72E13" w:rsidP="00650EBA">
      <w:pPr>
        <w:pStyle w:val="Pargrafo-1nvel"/>
        <w:keepNext/>
        <w:numPr>
          <w:ilvl w:val="0"/>
          <w:numId w:val="0"/>
        </w:numPr>
      </w:pPr>
    </w:p>
    <w:p w:rsidR="00A72E13" w:rsidRDefault="00A72E13" w:rsidP="00650EBA">
      <w:pPr>
        <w:pStyle w:val="Pargrafo-1nvel"/>
        <w:keepNext/>
      </w:pPr>
      <w:r>
        <w:t xml:space="preserve">Desse modo, estando o aludido quantitativo abaixo do montante total especificado no item 9.1.5.1 do </w:t>
      </w:r>
      <w:r w:rsidRPr="00DB40B5">
        <w:t>Acórdão 723/2012</w:t>
      </w:r>
      <w:r>
        <w:t>-</w:t>
      </w:r>
      <w:proofErr w:type="spellStart"/>
      <w:r>
        <w:t>TCU-Plenário</w:t>
      </w:r>
      <w:proofErr w:type="spellEnd"/>
      <w:r>
        <w:t xml:space="preserve"> demonstra-se a correção da </w:t>
      </w:r>
      <w:r w:rsidR="0028050D">
        <w:t>referida</w:t>
      </w:r>
      <w:r>
        <w:t xml:space="preserve"> irregularidade.</w:t>
      </w:r>
    </w:p>
    <w:p w:rsidR="00A72E13" w:rsidRDefault="00A72E13" w:rsidP="00650EBA">
      <w:pPr>
        <w:pStyle w:val="Ttulonumerado-2nvel"/>
        <w:ind w:left="0" w:firstLine="0"/>
      </w:pPr>
      <w:r w:rsidRPr="000B2F6F">
        <w:t>Modificar o método de escavação de material de 3ª categoria na região das barragens e dos reservatórios</w:t>
      </w:r>
    </w:p>
    <w:p w:rsidR="00A72E13" w:rsidRDefault="00A72E13" w:rsidP="00650EBA">
      <w:pPr>
        <w:pStyle w:val="Ttulonumerado-3nvel"/>
      </w:pPr>
      <w:r>
        <w:t>Argumentos</w:t>
      </w:r>
    </w:p>
    <w:p w:rsidR="00A72E13" w:rsidRDefault="00A72E13" w:rsidP="00650EBA">
      <w:pPr>
        <w:pStyle w:val="Pargrafo-1nvel"/>
        <w:keepNext/>
      </w:pPr>
      <w:r>
        <w:t>Conforme disposto na Nota Técnica 29/2012 CGOC/DPE/SIH (peça 59, fls. 157 a 161), o MI reconheceu</w:t>
      </w:r>
      <w:r w:rsidRPr="000473F5">
        <w:t xml:space="preserve"> que os</w:t>
      </w:r>
      <w:r>
        <w:t xml:space="preserve"> </w:t>
      </w:r>
      <w:r w:rsidRPr="000473F5">
        <w:t>serviços de limpeza de fundação da</w:t>
      </w:r>
      <w:r>
        <w:t>s barragens para materiais de 3ª</w:t>
      </w:r>
      <w:r w:rsidRPr="000473F5">
        <w:t xml:space="preserve"> categoria estavam previstos</w:t>
      </w:r>
      <w:r>
        <w:t xml:space="preserve"> erroneamente c</w:t>
      </w:r>
      <w:r w:rsidRPr="000473F5">
        <w:t xml:space="preserve">omo "Escavação de material de 3a categoria a fogo controlado" a um preço de RS 53,48/m </w:t>
      </w:r>
      <w:proofErr w:type="gramStart"/>
      <w:r w:rsidRPr="000473F5">
        <w:t>3</w:t>
      </w:r>
      <w:proofErr w:type="gramEnd"/>
      <w:r w:rsidRPr="000473F5">
        <w:t>.</w:t>
      </w:r>
      <w:r>
        <w:t xml:space="preserve"> Esse material a ser removido, cuja classificação é de 3ª categoria, deverá ocorrer em regiões limitadas e sua escavação deverá ser feita de maneira convencional e não como fogo, controlado.</w:t>
      </w:r>
    </w:p>
    <w:p w:rsidR="00A72E13" w:rsidRDefault="00A72E13" w:rsidP="00650EBA">
      <w:pPr>
        <w:pStyle w:val="Pargrafo-1nvel"/>
        <w:keepNext/>
      </w:pPr>
      <w:r>
        <w:t>Desse modo, o MI afirmou que procedeu à alteração do serviço de escavação e limpeza das fundações de barragem em 3ª categoria (itens 1.1.5; 5.1.5; 6.1.5; 7.1.5; 8.1.5; 9.1.5), alterando seus respectivos preços unitários.</w:t>
      </w:r>
    </w:p>
    <w:p w:rsidR="00A72E13" w:rsidRDefault="00A72E13" w:rsidP="00650EBA">
      <w:pPr>
        <w:pStyle w:val="Ttulonumerado-3nvel"/>
      </w:pPr>
      <w:r w:rsidRPr="007604F9">
        <w:t>Análise dos Argumentos</w:t>
      </w:r>
    </w:p>
    <w:p w:rsidR="00A72E13" w:rsidRDefault="00A72E13" w:rsidP="00650EBA">
      <w:pPr>
        <w:pStyle w:val="Pargrafo-1nvel"/>
        <w:keepNext/>
      </w:pPr>
      <w:r>
        <w:t xml:space="preserve">Pela análise da nova planilha </w:t>
      </w:r>
      <w:r w:rsidRPr="000906B2">
        <w:t xml:space="preserve">orçamentária (peça 61, fls. </w:t>
      </w:r>
      <w:r w:rsidR="00933F74">
        <w:t>153</w:t>
      </w:r>
      <w:r>
        <w:t xml:space="preserve"> a </w:t>
      </w:r>
      <w:r w:rsidR="00933F74">
        <w:t>212</w:t>
      </w:r>
      <w:r w:rsidRPr="000906B2">
        <w:t>),</w:t>
      </w:r>
      <w:r>
        <w:t xml:space="preserve"> confirma-se que os referidos itens realmente tiveram sua descrição corrigida e seus respectivos preços unitários alterados para R$ 27,82/m³. Desse modo, restou demonstrado o atendimento da determinação para correção do método de escavação.</w:t>
      </w:r>
    </w:p>
    <w:p w:rsidR="00A72E13" w:rsidRDefault="00A72E13" w:rsidP="00650EBA">
      <w:pPr>
        <w:pStyle w:val="Ttulonumerado-2nvel"/>
        <w:ind w:left="0" w:firstLine="0"/>
      </w:pPr>
      <w:r>
        <w:t>Vedação ao somatório de atestados</w:t>
      </w:r>
    </w:p>
    <w:p w:rsidR="00A72E13" w:rsidRDefault="00A72E13" w:rsidP="00650EBA">
      <w:pPr>
        <w:pStyle w:val="Ttulonumerado-3nvel"/>
      </w:pPr>
      <w:r>
        <w:t>Argumentos</w:t>
      </w:r>
    </w:p>
    <w:p w:rsidR="00A72E13" w:rsidRDefault="00A72E13" w:rsidP="00650EBA">
      <w:pPr>
        <w:pStyle w:val="Pargrafo-1nvel"/>
        <w:keepNext/>
      </w:pPr>
      <w:r>
        <w:t xml:space="preserve">Verifica-se no item 7.1.5.3, alínea “d” do edital corrigido apresentado pelo MI </w:t>
      </w:r>
      <w:r w:rsidRPr="00765591">
        <w:t xml:space="preserve">(peça </w:t>
      </w:r>
      <w:r>
        <w:t>61</w:t>
      </w:r>
      <w:r w:rsidRPr="00765591">
        <w:t xml:space="preserve">, fl. </w:t>
      </w:r>
      <w:r w:rsidR="00933F74">
        <w:t>22</w:t>
      </w:r>
      <w:r w:rsidRPr="00765591">
        <w:t>)</w:t>
      </w:r>
      <w:r>
        <w:t xml:space="preserve"> que a totalidade dos quantitativos exigidos poderá ser comprovada pela licitante por meio do somatório dos quantitativos executados em contratos de obras similares ao objeto da licitação, limitado a </w:t>
      </w:r>
      <w:proofErr w:type="gramStart"/>
      <w:r>
        <w:t>3</w:t>
      </w:r>
      <w:proofErr w:type="gramEnd"/>
      <w:r>
        <w:t xml:space="preserve"> contratos por item. Posteriormente, o MI alterou o edital apresentado pela gerenciadora, aumentando esse número para </w:t>
      </w:r>
      <w:proofErr w:type="gramStart"/>
      <w:r>
        <w:t>5</w:t>
      </w:r>
      <w:proofErr w:type="gramEnd"/>
      <w:r>
        <w:t xml:space="preserve"> contratos por item (vide peça 63, fl. </w:t>
      </w:r>
      <w:r w:rsidR="00933F74">
        <w:t>127</w:t>
      </w:r>
      <w:r>
        <w:t>)</w:t>
      </w:r>
    </w:p>
    <w:p w:rsidR="00A72E13" w:rsidRDefault="00A72E13" w:rsidP="00650EBA">
      <w:pPr>
        <w:pStyle w:val="Pargrafo-1nvel"/>
        <w:keepNext/>
      </w:pPr>
      <w:r>
        <w:t xml:space="preserve">A limitação do número de contratos é motivada na </w:t>
      </w:r>
      <w:r w:rsidRPr="00F85228">
        <w:t xml:space="preserve">Nota Técnica 31/2012/CGOC/DPE/SIH (peça 59, fl. </w:t>
      </w:r>
      <w:r w:rsidR="00933F74">
        <w:t>171</w:t>
      </w:r>
      <w:r w:rsidRPr="00F85228">
        <w:t>)</w:t>
      </w:r>
      <w:r>
        <w:t xml:space="preserve">, conforme segue: “(...) para evitar que empresas ‘aventureiras’ e que tenham executado o quantitativo requerido para qualificação, mas em somatório de diversas obras de pequeno vulto, as quais não exigem o mesmo grau de responsabilidade necessário às barragens constantes do Lote </w:t>
      </w:r>
      <w:proofErr w:type="gramStart"/>
      <w:r>
        <w:t>5</w:t>
      </w:r>
      <w:proofErr w:type="gramEnd"/>
      <w:r>
        <w:t xml:space="preserve"> do PISF, considera-se que o Ml tenha </w:t>
      </w:r>
      <w:r>
        <w:lastRenderedPageBreak/>
        <w:t>de restringir a comprovação de qualificação técnica acima mencionada ao máximo de 3 (três) atestados por item”.</w:t>
      </w:r>
    </w:p>
    <w:p w:rsidR="00A72E13" w:rsidRDefault="00A72E13" w:rsidP="00650EBA">
      <w:pPr>
        <w:pStyle w:val="Ttulonumerado-3nvel"/>
      </w:pPr>
      <w:r w:rsidRPr="007604F9">
        <w:t>Análise dos Argumentos</w:t>
      </w:r>
    </w:p>
    <w:p w:rsidR="00A72E13" w:rsidRDefault="00A72E13" w:rsidP="00650EBA">
      <w:pPr>
        <w:pStyle w:val="Pargrafo-1nvel"/>
        <w:keepNext/>
      </w:pPr>
      <w:r>
        <w:t xml:space="preserve">Conforme fartamente exposto no </w:t>
      </w:r>
      <w:r w:rsidR="00BF66F3">
        <w:t>r</w:t>
      </w:r>
      <w:r>
        <w:t xml:space="preserve">elatório de </w:t>
      </w:r>
      <w:r w:rsidR="00BF66F3">
        <w:t>a</w:t>
      </w:r>
      <w:r>
        <w:t>uditoria (peça 41), a jurisprudência do TCU é no sentido de que, sempre que possível, seja permitido somatório de quantitativos, de forma a ampliar a competição. Tal análise deve ser aplicada a cada caso específico, contemplando os fundamentos de fato e de direito que levam o gestor a optar pela vedação ao somatório de atestados.</w:t>
      </w:r>
    </w:p>
    <w:p w:rsidR="00A72E13" w:rsidRDefault="00A72E13" w:rsidP="00650EBA">
      <w:pPr>
        <w:pStyle w:val="Pargrafo-1nvel"/>
        <w:keepNext/>
      </w:pPr>
      <w:r>
        <w:t xml:space="preserve">Vale ressaltar que a posição desta unidade técnica para a vedação total da soma de atestados para o edital ora avaliado permanece a mesma, ou seja, de que é cláusula que importa restrição à competitividade do certame. No entanto, exclusivamente para o caso concreto em apreço, entende-se que a motivação apresentada para a soma de no máximo </w:t>
      </w:r>
      <w:proofErr w:type="gramStart"/>
      <w:r>
        <w:t>5</w:t>
      </w:r>
      <w:proofErr w:type="gramEnd"/>
      <w:r>
        <w:t xml:space="preserve"> atestados por item é razoável, tendo em vista que permitir grande quantidade de atestados somados poderia acarretar contratação de empresa não condizente com a complexidade técnica do objeto ou causar desproporção entre as quantidades e prazos para a sua execução.</w:t>
      </w:r>
    </w:p>
    <w:p w:rsidR="00A72E13" w:rsidRDefault="00A72E13" w:rsidP="00650EBA">
      <w:pPr>
        <w:pStyle w:val="Pargrafo-1nvel"/>
        <w:keepNext/>
      </w:pPr>
      <w:r>
        <w:t xml:space="preserve">Dessa forma, entende-se </w:t>
      </w:r>
      <w:r w:rsidR="00933F74">
        <w:t xml:space="preserve">que, </w:t>
      </w:r>
      <w:r>
        <w:t xml:space="preserve">consideradas as características do objeto licitado, a redação dada para o item 7.1.5.3, alínea “d” do edital corrigido (peça 63, fl. </w:t>
      </w:r>
      <w:r w:rsidR="00933F74">
        <w:t>144</w:t>
      </w:r>
      <w:r>
        <w:t xml:space="preserve">) encontra-se de acordo com o espírito dos </w:t>
      </w:r>
      <w:proofErr w:type="spellStart"/>
      <w:r w:rsidRPr="00A76F22">
        <w:t>arts</w:t>
      </w:r>
      <w:proofErr w:type="spellEnd"/>
      <w:r w:rsidRPr="00A76F22">
        <w:t xml:space="preserve">. </w:t>
      </w:r>
      <w:proofErr w:type="gramStart"/>
      <w:r w:rsidRPr="00A76F22">
        <w:t>3°, caput</w:t>
      </w:r>
      <w:proofErr w:type="gramEnd"/>
      <w:r w:rsidRPr="00A76F22">
        <w:t xml:space="preserve"> e § 1º, inciso I e 30, inciso II e § 5º, da Lei 8.666/1993 e 37, caput e inciso XXI, da Constituição Federal</w:t>
      </w:r>
      <w:r>
        <w:t>, tendo sido corrigida a irregularidade apontada.</w:t>
      </w:r>
    </w:p>
    <w:p w:rsidR="00A72E13" w:rsidRDefault="00A72E13" w:rsidP="00650EBA">
      <w:pPr>
        <w:pStyle w:val="Ttulonumerado-2nvel"/>
        <w:ind w:left="0" w:firstLine="0"/>
      </w:pPr>
      <w:r w:rsidRPr="000B2F6F">
        <w:t>Finalização de atualizações de projeto das obras de adaptação do vertedor da Barragem de Atalho, no prazo de 30 (trinta) dias, promovendo licitação específica para a execução dos serviços, para que não sobrevenham danos às estruturas da barragem e às áreas à sua jusante, na eventualidade de eventos hidrológicos de grandes proporções</w:t>
      </w:r>
      <w:r>
        <w:t>.</w:t>
      </w:r>
    </w:p>
    <w:p w:rsidR="00A72E13" w:rsidRDefault="00A72E13" w:rsidP="00650EBA">
      <w:pPr>
        <w:pStyle w:val="Ttulonumerado-3nvel"/>
      </w:pPr>
      <w:r>
        <w:t>Argumentos</w:t>
      </w:r>
    </w:p>
    <w:p w:rsidR="00A72E13" w:rsidRDefault="00A72E13" w:rsidP="00650EBA">
      <w:pPr>
        <w:pStyle w:val="Pargrafo-1nvel"/>
        <w:keepNext/>
      </w:pPr>
      <w:r w:rsidRPr="00033A5F">
        <w:t>O MI inform</w:t>
      </w:r>
      <w:r>
        <w:t>ou</w:t>
      </w:r>
      <w:r w:rsidRPr="00033A5F">
        <w:t xml:space="preserve"> na Nota Té</w:t>
      </w:r>
      <w:r>
        <w:t xml:space="preserve">cnica 64/2012/CGOC/DPE/SIH </w:t>
      </w:r>
      <w:r w:rsidRPr="009374F0">
        <w:t xml:space="preserve">(peça 63, fls. </w:t>
      </w:r>
      <w:r w:rsidR="00933F74">
        <w:t>90</w:t>
      </w:r>
      <w:r w:rsidRPr="009374F0">
        <w:t xml:space="preserve"> a </w:t>
      </w:r>
      <w:r w:rsidR="00933F74">
        <w:t>92</w:t>
      </w:r>
      <w:r w:rsidRPr="009374F0">
        <w:t>)</w:t>
      </w:r>
      <w:r>
        <w:t xml:space="preserve"> </w:t>
      </w:r>
      <w:r w:rsidRPr="00033A5F">
        <w:t xml:space="preserve">que a licitação do projeto de adequação do </w:t>
      </w:r>
      <w:r>
        <w:t>v</w:t>
      </w:r>
      <w:r w:rsidRPr="00033A5F">
        <w:t>ertedouro d</w:t>
      </w:r>
      <w:r>
        <w:t>a Barragem d</w:t>
      </w:r>
      <w:r w:rsidRPr="00033A5F">
        <w:t>e Atalho est</w:t>
      </w:r>
      <w:r>
        <w:t>ava</w:t>
      </w:r>
      <w:r w:rsidRPr="00033A5F">
        <w:t xml:space="preserve"> em conclusão, </w:t>
      </w:r>
      <w:r>
        <w:t xml:space="preserve">com </w:t>
      </w:r>
      <w:r w:rsidRPr="00033A5F">
        <w:t>previsão de publicação em abril de 2012.</w:t>
      </w:r>
      <w:r>
        <w:t xml:space="preserve"> Ressaltou que será priorizada a elaboração do projeto de adequação do vertedouro de Atalho em relação aos demais do mesmo conjunto a s</w:t>
      </w:r>
      <w:r w:rsidR="005F5020">
        <w:t>er contratado, antecipando o iní</w:t>
      </w:r>
      <w:r>
        <w:t>cio da licitação dessa obra.</w:t>
      </w:r>
    </w:p>
    <w:p w:rsidR="00A72E13" w:rsidRDefault="00A72E13" w:rsidP="00650EBA">
      <w:pPr>
        <w:pStyle w:val="Pargrafo-1nvel"/>
        <w:keepNext/>
      </w:pPr>
      <w:r>
        <w:t>Além do mais, o órgão assumiu o compromisso de que a</w:t>
      </w:r>
      <w:r w:rsidRPr="00E85D79">
        <w:t xml:space="preserve"> </w:t>
      </w:r>
      <w:r>
        <w:t>ordem de serviço para a</w:t>
      </w:r>
      <w:r w:rsidRPr="00E85D79">
        <w:t xml:space="preserve"> execução das obras da UHE Atalho,</w:t>
      </w:r>
      <w:r>
        <w:t xml:space="preserve"> </w:t>
      </w:r>
      <w:r w:rsidRPr="00E85D79">
        <w:t xml:space="preserve">pertencente ao Lote </w:t>
      </w:r>
      <w:proofErr w:type="gramStart"/>
      <w:r w:rsidRPr="00E85D79">
        <w:t>5</w:t>
      </w:r>
      <w:proofErr w:type="gramEnd"/>
      <w:r w:rsidRPr="00E85D79">
        <w:t xml:space="preserve"> de obras do PIS</w:t>
      </w:r>
      <w:r>
        <w:t>F</w:t>
      </w:r>
      <w:r w:rsidRPr="00E85D79">
        <w:t>, só ser</w:t>
      </w:r>
      <w:r>
        <w:t>ia</w:t>
      </w:r>
      <w:r w:rsidRPr="00E85D79">
        <w:t xml:space="preserve"> emitida após a conclusão do projeto e, também</w:t>
      </w:r>
      <w:r>
        <w:t xml:space="preserve">, </w:t>
      </w:r>
      <w:r w:rsidRPr="00E85D79">
        <w:t>da licitação de obra da adequação do vertedouro</w:t>
      </w:r>
      <w:r>
        <w:t>.</w:t>
      </w:r>
    </w:p>
    <w:p w:rsidR="00A72E13" w:rsidRDefault="00A72E13" w:rsidP="00650EBA">
      <w:pPr>
        <w:pStyle w:val="Ttulonumerado-3nvel"/>
      </w:pPr>
      <w:r w:rsidRPr="007604F9">
        <w:t>Análise dos Argumentos</w:t>
      </w:r>
    </w:p>
    <w:p w:rsidR="00A72E13" w:rsidRDefault="00A72E13" w:rsidP="00650EBA">
      <w:pPr>
        <w:pStyle w:val="Pargrafo-1nvel"/>
        <w:keepNext/>
      </w:pPr>
      <w:r>
        <w:t>A preocupação da equipe de auditoria ao apontar essa irregularidade é de que não sobrevenham danos às estruturas da barragem e às áreas à sua jusante, na eventualidade de eventos hidrológicos de grandes proporções, considerando-se o alteamento do barramento sem as devidas adequações em seu vertedouro.</w:t>
      </w:r>
    </w:p>
    <w:p w:rsidR="00A72E13" w:rsidRDefault="00A72E13" w:rsidP="00650EBA">
      <w:pPr>
        <w:pStyle w:val="Pargrafo-1nvel"/>
        <w:keepNext/>
      </w:pPr>
      <w:r>
        <w:t>Desse modo, com o compromisso assumido pelo MI de iniciar as obras de alteamento da barragem Atalho somente após a conclusão do projeto e licitação da adequação de seu vertedouro, entende-se elidido o risco de dano às suas estruturas e às áreas à sua jusante.</w:t>
      </w:r>
    </w:p>
    <w:p w:rsidR="00A72E13" w:rsidRDefault="00A72E13" w:rsidP="00650EBA">
      <w:pPr>
        <w:pStyle w:val="Pargrafo-1nvel"/>
        <w:keepNext/>
      </w:pPr>
      <w:r>
        <w:t>Para fins de publicação do edital</w:t>
      </w:r>
      <w:r w:rsidR="00F639E4">
        <w:t>,</w:t>
      </w:r>
      <w:r>
        <w:t xml:space="preserve"> avalia-se que o MI adotou providências preliminares, visando atender a falha apontada no relatório de auditoria. Todavia, considerando a pertinência das preocupações esposadas na análise do achado, a necessidade de se promover as obras de alteamento da barragem de Atalho, em um prazo razoável, de modo a não atrasar o cronograma das obras, e a importância de o TCU atuar de forma preventiva, no intuito de evitar a ocorrência de prejuízos ao erário, faz-se oportuno determinar ao MI, com fulcro no art. 250, inciso II, do Regimento Interno do TCU, que finalize as atualizações de projeto das obras de adaptação do vertedor da Barragem de </w:t>
      </w:r>
      <w:r>
        <w:lastRenderedPageBreak/>
        <w:t xml:space="preserve">Atalho, promovendo licitação específica para a execução dos serviços, no prazo de 180 dias, para que não sobrevenham danos às estruturas da barragem e às áreas à sua jusante, na eventualidade de eventos hidrológicos de grandes proporções. </w:t>
      </w:r>
    </w:p>
    <w:p w:rsidR="00A72E13" w:rsidRDefault="00A72E13" w:rsidP="00650EBA">
      <w:pPr>
        <w:pStyle w:val="Ttulonumerado-2nvel"/>
        <w:ind w:left="0" w:firstLine="0"/>
      </w:pPr>
      <w:r w:rsidRPr="00CC0782">
        <w:t>Adequar os preços do orçamento-base da licitação aos de mercado, tomando como limites máximos os preços fixados pelo Acórdão</w:t>
      </w:r>
      <w:r>
        <w:t xml:space="preserve"> </w:t>
      </w:r>
      <w:proofErr w:type="gramStart"/>
      <w:r>
        <w:t>723/2012</w:t>
      </w:r>
      <w:proofErr w:type="gramEnd"/>
    </w:p>
    <w:p w:rsidR="00A72E13" w:rsidRDefault="00A72E13" w:rsidP="00650EBA">
      <w:pPr>
        <w:pStyle w:val="Ttulonumerado-3nvel"/>
      </w:pPr>
      <w:r>
        <w:t>Argumentos</w:t>
      </w:r>
    </w:p>
    <w:p w:rsidR="00A72E13" w:rsidRDefault="00A72E13" w:rsidP="00650EBA">
      <w:pPr>
        <w:pStyle w:val="Pargrafo-1nvel"/>
        <w:keepNext/>
      </w:pPr>
      <w:r w:rsidRPr="00DB40B5">
        <w:t xml:space="preserve">O </w:t>
      </w:r>
      <w:r>
        <w:t xml:space="preserve">MI afirmou no Parecer Técnico COP 18/2012 (peça 63, fls. </w:t>
      </w:r>
      <w:r w:rsidR="00F639E4">
        <w:t>87</w:t>
      </w:r>
      <w:r>
        <w:t xml:space="preserve"> a </w:t>
      </w:r>
      <w:r w:rsidR="00F639E4">
        <w:t>89</w:t>
      </w:r>
      <w:r>
        <w:t>) que foi realizada análise nos preços do novo edital apresentado pela empresa gerenciadora, no que se refere aos dezessete itens cujos preços foram limitados pelo acórdão, a fim de se verificar a realização dos ajustes.</w:t>
      </w:r>
    </w:p>
    <w:p w:rsidR="00A72E13" w:rsidRDefault="00A72E13" w:rsidP="00650EBA">
      <w:pPr>
        <w:pStyle w:val="Pargrafo-1nvel"/>
        <w:keepNext/>
      </w:pPr>
      <w:r>
        <w:t>Tendo em vista que o novo edital apresentado referenciou seus preços em setembro/2011, a equipe técnica do MI justificou que a análise foi baseada nas composições de preços unitários, constantes do processo de revisão do edital, adotando-se para os insumos (equipamentos, mão de obra e materiais) os valores da data-base de janeiro/2011, ou seja, mesma referência utilizada nos apontamentos constantes no acórdão.</w:t>
      </w:r>
    </w:p>
    <w:p w:rsidR="00A72E13" w:rsidRDefault="00A72E13" w:rsidP="00650EBA">
      <w:pPr>
        <w:pStyle w:val="Pargrafo-1nvel"/>
        <w:keepNext/>
      </w:pPr>
      <w:r>
        <w:t>Foi apresentada tabela que compara os novos preços encontrados pela metodologia descrita aos fixados pelo Plenário do TCU, estando aqueles sempre menores ou iguais a estes.</w:t>
      </w:r>
    </w:p>
    <w:p w:rsidR="00A72E13" w:rsidRDefault="00A72E13" w:rsidP="00650EBA">
      <w:pPr>
        <w:pStyle w:val="Pargrafo-1nvel"/>
        <w:keepNext/>
      </w:pPr>
      <w:r>
        <w:t xml:space="preserve">Após essa verificação, a equipe técnica do MI conclui que todos os itens foram adequados em relação aos limites máximos indicados no referido Acórdão, conforme composições constantes no CD de revisão, apresentado pela gerenciadora </w:t>
      </w:r>
      <w:proofErr w:type="spellStart"/>
      <w:r>
        <w:t>Logos-Concremat</w:t>
      </w:r>
      <w:proofErr w:type="spellEnd"/>
      <w:r>
        <w:t>.</w:t>
      </w:r>
    </w:p>
    <w:p w:rsidR="00A72E13" w:rsidRDefault="00A72E13" w:rsidP="00650EBA">
      <w:pPr>
        <w:pStyle w:val="Ttulonumerado-3nvel"/>
      </w:pPr>
      <w:r w:rsidRPr="007604F9">
        <w:t>Análise dos Argumentos</w:t>
      </w:r>
    </w:p>
    <w:p w:rsidR="00A72E13" w:rsidRDefault="00A72E13" w:rsidP="00650EBA">
      <w:pPr>
        <w:pStyle w:val="Pargrafo-1nvel"/>
        <w:keepNext/>
      </w:pPr>
      <w:r>
        <w:t xml:space="preserve">A verificação da adequação dos preços do novo edital aos parâmetros fixados pelo TCU deve ser realizada comparando-se os preços da nova planilha orçamentária </w:t>
      </w:r>
      <w:r w:rsidRPr="000906B2">
        <w:t xml:space="preserve">(peça 61, fls. </w:t>
      </w:r>
      <w:r w:rsidR="00335727">
        <w:t>152 a 212</w:t>
      </w:r>
      <w:r w:rsidRPr="000906B2">
        <w:t>)</w:t>
      </w:r>
      <w:r>
        <w:t xml:space="preserve"> aos limites fixados, com a cautela de se utilizar a mesma data referencial para ambos. </w:t>
      </w:r>
    </w:p>
    <w:p w:rsidR="00A72E13" w:rsidRDefault="00A12D3A" w:rsidP="00650EBA">
      <w:pPr>
        <w:pStyle w:val="Pargrafo-1nvel"/>
        <w:keepNext/>
      </w:pPr>
      <w:r>
        <w:t>O</w:t>
      </w:r>
      <w:r w:rsidR="00A72E13">
        <w:t>ptou-se por metodologia diversa da utilizada pelo MI, que, em tese, deve conduzir à mesma avaliação em relação aos preços do novo edital. De posse de todas as composições de preços unitários que nortearam a fixação dos limites de preços no Acórdão 723/2012-</w:t>
      </w:r>
      <w:proofErr w:type="spellStart"/>
      <w:r w:rsidR="00A72E13">
        <w:t>TCU-Plenário</w:t>
      </w:r>
      <w:proofErr w:type="spellEnd"/>
      <w:r w:rsidR="00A72E13">
        <w:t xml:space="preserve">, utilizou-se o custo dos insumos na data-base de setembro/2011, a mesma utilizada para referenciar a nova planilha orçamentária, de modo a obter os novos preços de referência, nesta data-base. </w:t>
      </w:r>
    </w:p>
    <w:p w:rsidR="00A72E13" w:rsidRDefault="00A72E13" w:rsidP="00650EBA">
      <w:pPr>
        <w:pStyle w:val="Pargrafo-1nvel"/>
        <w:keepNext/>
      </w:pPr>
      <w:r>
        <w:t xml:space="preserve">Desse modo, procedida </w:t>
      </w:r>
      <w:proofErr w:type="gramStart"/>
      <w:r>
        <w:t>a</w:t>
      </w:r>
      <w:proofErr w:type="gramEnd"/>
      <w:r>
        <w:t xml:space="preserve"> comparação das novas referências com os preços do novo edital, verifica-se que</w:t>
      </w:r>
      <w:r w:rsidR="00BF66F3">
        <w:t xml:space="preserve"> </w:t>
      </w:r>
      <w:r>
        <w:t>estes estão de acordo</w:t>
      </w:r>
      <w:r w:rsidR="009C7034">
        <w:t xml:space="preserve"> com</w:t>
      </w:r>
      <w:r>
        <w:t xml:space="preserve"> aquelas, tendo sido corrigidas as irregularidades apontadas na fiscalização. As referidas composições na nova data-base estão apo</w:t>
      </w:r>
      <w:r w:rsidRPr="008903E4">
        <w:t xml:space="preserve">stas na peça </w:t>
      </w:r>
      <w:r w:rsidR="008903E4" w:rsidRPr="008903E4">
        <w:t>65</w:t>
      </w:r>
      <w:r w:rsidRPr="008903E4">
        <w:t>.</w:t>
      </w:r>
    </w:p>
    <w:p w:rsidR="00A72E13" w:rsidRDefault="00A72E13" w:rsidP="00650EBA">
      <w:pPr>
        <w:pStyle w:val="Pargrafo-1nvel"/>
        <w:keepNext/>
      </w:pPr>
      <w:r>
        <w:t>Na tabela a seguir são apresentados os preços obtidos pela análise descrita, em comparação com os preços do novo edital publicado:</w:t>
      </w:r>
    </w:p>
    <w:p w:rsidR="00A72E13" w:rsidRPr="00942480" w:rsidRDefault="00A72E13" w:rsidP="00650EBA">
      <w:pPr>
        <w:pStyle w:val="PargrafodaLista"/>
        <w:autoSpaceDE w:val="0"/>
        <w:autoSpaceDN w:val="0"/>
        <w:adjustRightInd w:val="0"/>
        <w:spacing w:line="360" w:lineRule="auto"/>
        <w:jc w:val="left"/>
        <w:rPr>
          <w:sz w:val="20"/>
        </w:rPr>
      </w:pPr>
      <w:r w:rsidRPr="003010B2">
        <w:rPr>
          <w:szCs w:val="24"/>
        </w:rPr>
        <w:object w:dxaOrig="11797" w:dyaOrig="5203">
          <v:shape id="_x0000_i1026" type="#_x0000_t75" style="width:482.1pt;height:212.85pt" o:ole="">
            <v:imagedata r:id="rId9" o:title=""/>
          </v:shape>
          <o:OLEObject Type="Embed" ProgID="Excel.Sheet.12" ShapeID="_x0000_i1026" DrawAspect="Content" ObjectID="_1398493456" r:id="rId10"/>
        </w:object>
      </w:r>
      <w:r w:rsidRPr="001602DF">
        <w:rPr>
          <w:sz w:val="20"/>
        </w:rPr>
        <w:t>(1)</w:t>
      </w:r>
      <w:r>
        <w:rPr>
          <w:szCs w:val="24"/>
        </w:rPr>
        <w:t xml:space="preserve"> </w:t>
      </w:r>
      <w:r w:rsidRPr="00942480">
        <w:rPr>
          <w:sz w:val="20"/>
        </w:rPr>
        <w:t>Sobrepreço do novo edital em relação aos preços do Acórdão</w:t>
      </w:r>
      <w:r>
        <w:rPr>
          <w:sz w:val="20"/>
        </w:rPr>
        <w:t xml:space="preserve"> atualizados</w:t>
      </w:r>
    </w:p>
    <w:p w:rsidR="00A72E13" w:rsidRDefault="00A72E13" w:rsidP="00650EBA">
      <w:pPr>
        <w:pStyle w:val="Pargrafo-1nvel"/>
        <w:keepNext/>
      </w:pPr>
      <w:r>
        <w:t xml:space="preserve">Em que pese </w:t>
      </w:r>
      <w:proofErr w:type="gramStart"/>
      <w:r>
        <w:t>a</w:t>
      </w:r>
      <w:proofErr w:type="gramEnd"/>
      <w:r>
        <w:t xml:space="preserve"> existência de dois serviços com preços superiores aos do Acórdão (setembro/2011), entende-se que a diferença não é materialmente relevante, podendo tal fato estar relacionado a arredondamentos. Assim, restou demonstrada a adequação dos preços do novo edital apresentado pela gerenciadora, no que se refere aos limites de preços unitários fixados por esta Corte de Contas no Acórdão 723/2012-</w:t>
      </w:r>
      <w:proofErr w:type="spellStart"/>
      <w:r>
        <w:t>TCU-Plenário</w:t>
      </w:r>
      <w:proofErr w:type="spellEnd"/>
      <w:r>
        <w:t>.</w:t>
      </w:r>
    </w:p>
    <w:p w:rsidR="00A72E13" w:rsidRDefault="00A72E13" w:rsidP="00650EBA">
      <w:pPr>
        <w:pStyle w:val="Ttulonumerado-2nvel"/>
        <w:ind w:left="0" w:firstLine="0"/>
      </w:pPr>
      <w:r w:rsidRPr="000E215D">
        <w:t>Restrição à participação de empresas sob a forma de consórcio</w:t>
      </w:r>
    </w:p>
    <w:p w:rsidR="00A72E13" w:rsidRDefault="00A72E13" w:rsidP="00650EBA">
      <w:pPr>
        <w:pStyle w:val="Ttulonumerado-3nvel"/>
      </w:pPr>
      <w:r>
        <w:t>Argumentos</w:t>
      </w:r>
    </w:p>
    <w:p w:rsidR="00A72E13" w:rsidRDefault="00A72E13" w:rsidP="00650EBA">
      <w:pPr>
        <w:pStyle w:val="Pargrafo-1nvel"/>
        <w:keepNext/>
      </w:pPr>
      <w:r>
        <w:t xml:space="preserve">O Ministério da Integração Nacional iniciou suas alegações na </w:t>
      </w:r>
      <w:r w:rsidRPr="0093523C">
        <w:t>Nota Técnica</w:t>
      </w:r>
      <w:r w:rsidR="00BF66F3" w:rsidRPr="0093523C">
        <w:t xml:space="preserve"> </w:t>
      </w:r>
      <w:r w:rsidRPr="0093523C">
        <w:t>31/2012/</w:t>
      </w:r>
      <w:r>
        <w:t xml:space="preserve">CGOC/DPE/SIH (peça 59, fl. </w:t>
      </w:r>
      <w:r w:rsidR="00CA2E34">
        <w:t>169</w:t>
      </w:r>
      <w:r w:rsidRPr="0093523C">
        <w:t>)</w:t>
      </w:r>
      <w:r>
        <w:t>, afirmando que a participação de empresas em consórcio tratava-se de escolha discricionária da Administração Pública. Na oportunidade, citou o Acórdão 1.946/2006–</w:t>
      </w:r>
      <w:proofErr w:type="spellStart"/>
      <w:r>
        <w:t>TCU–Plenário</w:t>
      </w:r>
      <w:proofErr w:type="spellEnd"/>
      <w:r>
        <w:t>, que afirma “que o juízo acerca da admissão ou não de empresas consorciadas na licitação dependerá de cada caso concreto”.</w:t>
      </w:r>
    </w:p>
    <w:p w:rsidR="00A72E13" w:rsidRDefault="00A72E13" w:rsidP="00650EBA">
      <w:pPr>
        <w:pStyle w:val="Pargrafo-1nvel"/>
        <w:keepNext/>
      </w:pPr>
      <w:r>
        <w:t xml:space="preserve">Alegou ainda que o entendimento da área técnica do MI é de que a regra seria a participação das empresas nos certames de forma não consorciada, conforme interpretação própria do art. 33 da Lei 8.666/1993. </w:t>
      </w:r>
    </w:p>
    <w:p w:rsidR="00A72E13" w:rsidRDefault="00A72E13" w:rsidP="00650EBA">
      <w:pPr>
        <w:pStyle w:val="Pargrafo-1nvel"/>
        <w:keepNext/>
      </w:pPr>
      <w:r>
        <w:t>Segue sua argumentação afirmando que a</w:t>
      </w:r>
      <w:r w:rsidRPr="00071723">
        <w:t xml:space="preserve"> mera aceitabilidade da participação consorciada na licitação pode não ampliar a competitividade do certame, tendo em vista que as empresas que licitariam em consórcio poder</w:t>
      </w:r>
      <w:r>
        <w:t>iam</w:t>
      </w:r>
      <w:r w:rsidRPr="00071723">
        <w:t xml:space="preserve"> ingressar no certame separadamente, o que ampliaria</w:t>
      </w:r>
      <w:r>
        <w:t>, e não restringiria</w:t>
      </w:r>
      <w:r w:rsidRPr="00071723">
        <w:t xml:space="preserve"> a concorrência de empresas que possu</w:t>
      </w:r>
      <w:r>
        <w:t>íss</w:t>
      </w:r>
      <w:r w:rsidRPr="00071723">
        <w:t>em experiência na realização dos serviços.</w:t>
      </w:r>
    </w:p>
    <w:p w:rsidR="00A72E13" w:rsidRDefault="00A72E13" w:rsidP="00650EBA">
      <w:pPr>
        <w:pStyle w:val="Pargrafo-1nvel"/>
        <w:keepNext/>
      </w:pPr>
      <w:r>
        <w:t xml:space="preserve">Adiante, afirmou que a heterogeneidade de empresas com experiência em obras distintas era importante nos certames em que o objeto a ser licitado apresentava uma diversidade de serviços, situação que ensejaria formação de consórcio. No entanto, o MI entende que no caso do Lote </w:t>
      </w:r>
      <w:proofErr w:type="gramStart"/>
      <w:r>
        <w:t>5</w:t>
      </w:r>
      <w:proofErr w:type="gramEnd"/>
      <w:r>
        <w:t>, especificamente, observa-se a ausência de diferentes tipos de obras para consecução, haja vista que o escopo do objeto pretendido é, praticamente, a realização de barragens. Desse modo, a formação de consórcios não se justificaria, por não acrescer na boa execução dos serviços.</w:t>
      </w:r>
    </w:p>
    <w:p w:rsidR="00A72E13" w:rsidRDefault="00A72E13" w:rsidP="00650EBA">
      <w:pPr>
        <w:pStyle w:val="Pargrafo-1nvel"/>
        <w:keepNext/>
      </w:pPr>
      <w:r>
        <w:t xml:space="preserve">Por fim, o MI ressaltou que observou, com a experiência obtida no gerenciamento do PISF, na gestão de contratos firmados com consórcios, dificuldade em se tratar com vários interlocutores, com perfis e visões em </w:t>
      </w:r>
      <w:proofErr w:type="gramStart"/>
      <w:r>
        <w:t>grande parte das vezes distintos</w:t>
      </w:r>
      <w:proofErr w:type="gramEnd"/>
      <w:r>
        <w:t>, fato fundamental para que o ritmo esperado dos serviços não fosse alcançado.</w:t>
      </w:r>
    </w:p>
    <w:p w:rsidR="00A72E13" w:rsidRDefault="00A72E13" w:rsidP="00650EBA">
      <w:pPr>
        <w:pStyle w:val="Ttulonumerado-3nvel"/>
      </w:pPr>
      <w:r w:rsidRPr="007604F9">
        <w:lastRenderedPageBreak/>
        <w:t>Análise dos Argumentos</w:t>
      </w:r>
    </w:p>
    <w:p w:rsidR="00A72E13" w:rsidRDefault="00A72E13" w:rsidP="00650EBA">
      <w:pPr>
        <w:pStyle w:val="Pargrafo-1nvel"/>
        <w:keepNext/>
      </w:pPr>
      <w:r>
        <w:t xml:space="preserve">Em que pese já haver sido tratado diversas vezes no </w:t>
      </w:r>
      <w:r w:rsidR="00BF66F3">
        <w:t>r</w:t>
      </w:r>
      <w:r>
        <w:t xml:space="preserve">elatório de </w:t>
      </w:r>
      <w:r w:rsidR="00BF66F3">
        <w:t>a</w:t>
      </w:r>
      <w:r>
        <w:t xml:space="preserve">uditoria </w:t>
      </w:r>
      <w:r w:rsidRPr="009937A7">
        <w:t>(peça 41)</w:t>
      </w:r>
      <w:r>
        <w:t>, é oportuno reiterar o entendimento desta Corte de Contas no que se refere à participação de empresas de forma consorciada em licitações públicas. A jurisprudência do TCU é pacífica no sentido de que a decisão acerca da participação de consórcios é discricionária, nos termos do art. 33 da Lei 8.666/1993. No entanto, os motivos que fundamentam essa opção do gestor devem estar demonstrados nos autos do procedimento licitatório, ou no edital, especialmente quando a vedação representar risco à competitividade do certame, o que deve ser observado mediante a análise do caso concreto (Acórdãos 566/2006, 1.028/2007, 1.636/2007 e 1.453/2009, todos do Plenário). Existe ainda o entendimento de que, se as circunstâncias concretas indicarem que o objeto apresenta vulto ou complexidade que tornem restrito o universo de possíveis licitantes, fica o</w:t>
      </w:r>
      <w:r w:rsidRPr="006452B9">
        <w:t xml:space="preserve"> </w:t>
      </w:r>
      <w:r>
        <w:t xml:space="preserve">Administrador obrigado a prever a participação de consórcios no certame com vistas à ampliação da competitividade e à obtenção da proposta mais vantajosa (Acórdãos 1.417/2008 e </w:t>
      </w:r>
      <w:proofErr w:type="gramStart"/>
      <w:r>
        <w:t>2.304/2009, ambos</w:t>
      </w:r>
      <w:proofErr w:type="gramEnd"/>
      <w:r>
        <w:t xml:space="preserve"> do Plenário).</w:t>
      </w:r>
    </w:p>
    <w:p w:rsidR="00A72E13" w:rsidRDefault="00A72E13" w:rsidP="00650EBA">
      <w:pPr>
        <w:pStyle w:val="Pargrafo-1nvel"/>
        <w:keepNext/>
      </w:pPr>
      <w:r>
        <w:t xml:space="preserve">Com relação ao argumento de que aceitar a participação de consórcios poderia restringir a competitividade do certame, existe a necessidade de algumas considerações. Tal situação poderia ser aventada para contextos especialíssimos em que o objeto da licitação constitua serviço peculiar, a ponto de poucas empresas no mercado serem tecnicamente aptas a executá-lo. Nessa situação, o universo de competidores é bastante reduzido, havendo a possibilidade de as poucas empresas passíveis de concorrerem entre si se </w:t>
      </w:r>
      <w:proofErr w:type="gramStart"/>
      <w:r>
        <w:t>consorciarem,</w:t>
      </w:r>
      <w:proofErr w:type="gramEnd"/>
      <w:r>
        <w:t xml:space="preserve"> o que acarretaria prejuízo ao caráter competitivo da licitação. Entende-se que essa situação não se aplica ao caso concreto, dado que o objeto, conquanto </w:t>
      </w:r>
      <w:proofErr w:type="gramStart"/>
      <w:r>
        <w:t>complexo</w:t>
      </w:r>
      <w:proofErr w:type="gramEnd"/>
      <w:r>
        <w:t xml:space="preserve"> e de grande vulto, não possui características técnicas especiais que permitam concluir que o universo de potenciais licitantes seja muito pequeno, a ponto de a formação de consórcios ensejar uma diminuição na competitividade, entre as empresas do ramo.</w:t>
      </w:r>
    </w:p>
    <w:p w:rsidR="00A72E13" w:rsidRDefault="00A72E13" w:rsidP="00650EBA">
      <w:pPr>
        <w:pStyle w:val="Pargrafo-1nvel"/>
        <w:keepNext/>
      </w:pPr>
      <w:r>
        <w:t xml:space="preserve">Outro ponto que não merece acolhida é a alegação de que, no Lote </w:t>
      </w:r>
      <w:proofErr w:type="gramStart"/>
      <w:r>
        <w:t>5</w:t>
      </w:r>
      <w:proofErr w:type="gramEnd"/>
      <w:r>
        <w:t xml:space="preserve">, </w:t>
      </w:r>
      <w:r w:rsidRPr="00475CCB">
        <w:t>observa-se a ausência de diferentes tipos de o</w:t>
      </w:r>
      <w:r>
        <w:t>bras para consecução, tendo em vista</w:t>
      </w:r>
      <w:r w:rsidRPr="00475CCB">
        <w:t xml:space="preserve"> que o escopo do objeto pretendido é, praticamente, a realização de barragens</w:t>
      </w:r>
      <w:r>
        <w:t>. Ora, essa afirmação é demasiada incoerente com os requisitos de habilitação técnica exigidos pelo edital da concorrência, que traz em seu bojo a exigência de que a licitante apresente atestados de já ter executado 140m de túneis. Tal serviço apresenta aspectos técnicos de engenharia peculiares, que não necessariamente fazem parte do escopo usual de obras de barragens</w:t>
      </w:r>
      <w:r w:rsidR="00BF66F3">
        <w:t>.</w:t>
      </w:r>
      <w:r>
        <w:t xml:space="preserve"> Assim, empresas que já executaram barragens, mesmo que de grande porte, e nunca tenham executado túneis, </w:t>
      </w:r>
      <w:proofErr w:type="gramStart"/>
      <w:r>
        <w:t>restariam</w:t>
      </w:r>
      <w:proofErr w:type="gramEnd"/>
      <w:r>
        <w:t xml:space="preserve"> inabilitadas, o que demonstra a inadequação da ponderação trazida pelo MI.</w:t>
      </w:r>
    </w:p>
    <w:p w:rsidR="00A72E13" w:rsidRDefault="00A72E13" w:rsidP="00650EBA">
      <w:pPr>
        <w:pStyle w:val="Pargrafo-1nvel"/>
        <w:keepNext/>
      </w:pPr>
      <w:r>
        <w:t>Por fim, acerca das dificuldades de gestão de contratos firmados com consórcios, reputam-se insuficiente as alegações apresentadas. O MI contemplou o problema em caráter geral, ou seja, não trouxe aos autos os casos concretos em que poderiam ser comprovadas as dificuldades alegadas em tese. Não caracterizou quais os tipos de contratempos encontrados com as empresas consorciadas, os lotes em que eles ocorreram e nem mesmo os prejuízos advindos dessas contratações.</w:t>
      </w:r>
    </w:p>
    <w:p w:rsidR="00A72E13" w:rsidRDefault="00A72E13" w:rsidP="00650EBA">
      <w:pPr>
        <w:pStyle w:val="Pargrafo-1nvel"/>
        <w:keepNext/>
      </w:pPr>
      <w:r>
        <w:t xml:space="preserve">Diante do quadro apresentado, conclui-se que os argumentos trazidos pelo MI não se mostram convincentes, no sentido </w:t>
      </w:r>
      <w:r w:rsidR="00C02C4B">
        <w:t xml:space="preserve">de </w:t>
      </w:r>
      <w:r>
        <w:t xml:space="preserve">demonstrar que a vedação à participação de consórcios, na presente licitação, tenha sido a medida mais adequada, tendo em vista os princípios jurídicos aplicáveis à matéria. </w:t>
      </w:r>
    </w:p>
    <w:p w:rsidR="00A72E13" w:rsidRDefault="00A72E13" w:rsidP="00650EBA">
      <w:pPr>
        <w:pStyle w:val="Pargrafo-1nvel"/>
        <w:keepNext/>
      </w:pPr>
      <w:r>
        <w:t xml:space="preserve">A despeito da insuficiência da argumentação esposada, é preciso trazer à baila outras considerações, as quais se mostram importantes para a definição da solução jurídica </w:t>
      </w:r>
      <w:r w:rsidRPr="00126355">
        <w:t xml:space="preserve">mais correta para o </w:t>
      </w:r>
      <w:r>
        <w:t xml:space="preserve">presente </w:t>
      </w:r>
      <w:r w:rsidRPr="00126355">
        <w:t>caso concreto</w:t>
      </w:r>
      <w:r>
        <w:t>.</w:t>
      </w:r>
    </w:p>
    <w:p w:rsidR="00A72E13" w:rsidRDefault="00A72E13" w:rsidP="00650EBA">
      <w:pPr>
        <w:pStyle w:val="Pargrafo-1nvel"/>
        <w:keepNext/>
      </w:pPr>
      <w:r>
        <w:t xml:space="preserve">Nesse sentido, registra-se que a situação em exame envolve um conflito entre dois princípios de alçada constitucional: os princípios da busca da melhor proposta, qual seja, aquela que </w:t>
      </w:r>
      <w:r>
        <w:lastRenderedPageBreak/>
        <w:t>atenda de maneira mais adequada aos interesses imediatos da Administração contratante, proporcionando a execução da obra pública, com a qualidade e o prazo esperados, e o princípio da isonomia, materializado, no âmbito da licitação, pelo princípio da ampla competitividade.</w:t>
      </w:r>
    </w:p>
    <w:p w:rsidR="00A72E13" w:rsidRDefault="00A72E13" w:rsidP="00650EBA">
      <w:pPr>
        <w:pStyle w:val="Pargrafo-1nvel"/>
        <w:keepNext/>
      </w:pPr>
      <w:r>
        <w:t xml:space="preserve">Acerca do assunto, cumpre registrar que a solução de um conflito entre princípios previstos no ordenamento jurídico passa pela utilização do postulado da proporcionalidade, o qual envolve a utilização de </w:t>
      </w:r>
      <w:proofErr w:type="gramStart"/>
      <w:r>
        <w:t>3</w:t>
      </w:r>
      <w:proofErr w:type="gramEnd"/>
      <w:r>
        <w:t xml:space="preserve"> critérios: a adequação a necessidade e a ponderação estrito senso. </w:t>
      </w:r>
    </w:p>
    <w:p w:rsidR="00A72E13" w:rsidRDefault="00A72E13" w:rsidP="00650EBA">
      <w:pPr>
        <w:pStyle w:val="Pargrafo-1nvel"/>
        <w:keepNext/>
      </w:pPr>
      <w:r>
        <w:t xml:space="preserve">Nessa linha, faz-se oportuna a menção </w:t>
      </w:r>
      <w:proofErr w:type="gramStart"/>
      <w:r>
        <w:t>à</w:t>
      </w:r>
      <w:proofErr w:type="gramEnd"/>
      <w:r>
        <w:t xml:space="preserve"> excerto da palestra proferida pelo eminente professor alemão Robert </w:t>
      </w:r>
      <w:proofErr w:type="spellStart"/>
      <w:r>
        <w:t>Alexy</w:t>
      </w:r>
      <w:proofErr w:type="spellEnd"/>
      <w:r>
        <w:t xml:space="preserve">, </w:t>
      </w:r>
      <w:r w:rsidRPr="00FC67EC">
        <w:t>em conferência proferida no Brasil com o título “</w:t>
      </w:r>
      <w:proofErr w:type="spellStart"/>
      <w:r w:rsidRPr="00FC67EC">
        <w:t>Kollision</w:t>
      </w:r>
      <w:proofErr w:type="spellEnd"/>
      <w:r w:rsidRPr="00FC67EC">
        <w:t xml:space="preserve"> </w:t>
      </w:r>
      <w:proofErr w:type="spellStart"/>
      <w:r w:rsidRPr="00FC67EC">
        <w:t>und</w:t>
      </w:r>
      <w:proofErr w:type="spellEnd"/>
      <w:r w:rsidRPr="00FC67EC">
        <w:t xml:space="preserve"> </w:t>
      </w:r>
      <w:proofErr w:type="spellStart"/>
      <w:r w:rsidRPr="00FC67EC">
        <w:t>Abwägung</w:t>
      </w:r>
      <w:proofErr w:type="spellEnd"/>
      <w:r w:rsidRPr="00FC67EC">
        <w:t xml:space="preserve"> </w:t>
      </w:r>
      <w:proofErr w:type="spellStart"/>
      <w:r w:rsidRPr="00FC67EC">
        <w:t>als</w:t>
      </w:r>
      <w:proofErr w:type="spellEnd"/>
      <w:r w:rsidRPr="00FC67EC">
        <w:t xml:space="preserve"> </w:t>
      </w:r>
      <w:proofErr w:type="spellStart"/>
      <w:r w:rsidRPr="00FC67EC">
        <w:t>Grundprobleme</w:t>
      </w:r>
      <w:proofErr w:type="spellEnd"/>
      <w:r w:rsidRPr="00FC67EC">
        <w:t xml:space="preserve"> der </w:t>
      </w:r>
      <w:proofErr w:type="spellStart"/>
      <w:r w:rsidRPr="00FC67EC">
        <w:t>Grundrechtsdogmatik</w:t>
      </w:r>
      <w:proofErr w:type="spellEnd"/>
      <w:r w:rsidRPr="00FC67EC">
        <w:t>” - “Colisão e Balanceamentos como problema básico da dogmática dos direitos fundamentais”</w:t>
      </w:r>
      <w:r>
        <w:t>, citada por Gilmar Ferreira Mendes e Pau</w:t>
      </w:r>
      <w:r w:rsidR="00F409FA">
        <w:t>l</w:t>
      </w:r>
      <w:r>
        <w:t xml:space="preserve">o Gustavo </w:t>
      </w:r>
      <w:proofErr w:type="spellStart"/>
      <w:r>
        <w:t>Gonet</w:t>
      </w:r>
      <w:proofErr w:type="spellEnd"/>
      <w:r>
        <w:t xml:space="preserve"> Branco, na  obra Curso de Direito Constitucional,  6. Ed – São Paulo: </w:t>
      </w:r>
      <w:proofErr w:type="gramStart"/>
      <w:r>
        <w:t>Saraiva,</w:t>
      </w:r>
      <w:proofErr w:type="gramEnd"/>
      <w:r>
        <w:t xml:space="preserve"> 2011:</w:t>
      </w:r>
    </w:p>
    <w:p w:rsidR="00A72E13" w:rsidRDefault="00A72E13" w:rsidP="00650EBA">
      <w:pPr>
        <w:pStyle w:val="Transcrio"/>
      </w:pPr>
      <w:r>
        <w:t xml:space="preserve"> O postulado da ponderação corresponde ao terceiro subprincípio do postulado da proporcionalidade no direito constitucional alemão. O primeiro é o postulado da adequação do meio utilizado para a persecução do fim desejado. O segundo é o postulado da necessidade desse meio. O meio não é necessário se </w:t>
      </w:r>
      <w:proofErr w:type="spellStart"/>
      <w:r>
        <w:t>se</w:t>
      </w:r>
      <w:proofErr w:type="spellEnd"/>
      <w:r>
        <w:t xml:space="preserve"> dispõe de um mais suave ou menos restritivo. (...) O postulado da proporcionalidade em sentido estrito pode ser formulado como uma lei de ponderação, cuja fórmula mais simples voltada para os direitos fundamentais diz: “quanto mais intensa se revelar a intervenção em um dado direito fundamental, maiores hão de se revelar os fundamentos justificadores dessa intervenção.” (MENDES/BRANCO apud ALEXY, p. 226-227</w:t>
      </w:r>
      <w:proofErr w:type="gramStart"/>
      <w:r>
        <w:t>)</w:t>
      </w:r>
      <w:proofErr w:type="gramEnd"/>
    </w:p>
    <w:p w:rsidR="00A72E13" w:rsidRDefault="00A72E13" w:rsidP="00650EBA">
      <w:pPr>
        <w:pStyle w:val="Pargrafo-1nvel"/>
        <w:keepNext/>
      </w:pPr>
      <w:r>
        <w:t>Em outra passagem, os juristas Paulo Branco e Gilmar Mendes prescrevem que na ponderação entre princípios jurídicos, deve-se proteger o núcleo essencial de cada um deles, evitando-se que a limitação imposta aos princípios, na busca da melhor solução, atinja a unidade substancial dos valores protegidos por cada um dos princípios. (ob. cit., p.210):</w:t>
      </w:r>
    </w:p>
    <w:p w:rsidR="00A72E13" w:rsidRDefault="00A72E13" w:rsidP="00650EBA">
      <w:pPr>
        <w:pStyle w:val="Transcrio"/>
      </w:pPr>
      <w:r>
        <w:t>‘‘Devem-se comprimir no menor grau possível os direitos em causa, preservando-se a sua essência, o seu núcleo essencial (</w:t>
      </w:r>
      <w:proofErr w:type="gramStart"/>
      <w:r>
        <w:t>...) Põem</w:t>
      </w:r>
      <w:proofErr w:type="gramEnd"/>
      <w:r>
        <w:t>-se em ação o princípio da concordância prática, que se liga ao postulado da unidade da Constituição, incompatível com situações de colisão irredutível de dois direitos por ela consagrados.’’</w:t>
      </w:r>
    </w:p>
    <w:p w:rsidR="00523E30" w:rsidRDefault="00523E30" w:rsidP="00650EBA">
      <w:pPr>
        <w:pStyle w:val="Pargrafo-1nvel"/>
        <w:keepNext/>
      </w:pPr>
      <w:r w:rsidRPr="00523E30">
        <w:t xml:space="preserve">No presente caso concreto, </w:t>
      </w:r>
      <w:proofErr w:type="gramStart"/>
      <w:r w:rsidRPr="00523E30">
        <w:t>aponta-se</w:t>
      </w:r>
      <w:proofErr w:type="gramEnd"/>
      <w:r w:rsidRPr="00523E30">
        <w:t xml:space="preserve"> que as opções de permitir ou vedar consórcios apresentam, ambas, pontos favoráveis ao atendimento mais amplo dos princípios sob os quais se assentam, quais sejam os da competitividade e da busca da melhor proposta, respectivamente. Sob outro aspecto, é assente que as duas opções impõem limitações aos princípios contrapostos, reduzindo seus espaços de abrangência.</w:t>
      </w:r>
    </w:p>
    <w:p w:rsidR="00A72E13" w:rsidRDefault="00A72E13" w:rsidP="00650EBA">
      <w:pPr>
        <w:pStyle w:val="Pargrafo-1nvel"/>
        <w:keepNext/>
      </w:pPr>
      <w:r>
        <w:t xml:space="preserve">Se por um lado </w:t>
      </w:r>
      <w:proofErr w:type="gramStart"/>
      <w:r>
        <w:t>a</w:t>
      </w:r>
      <w:proofErr w:type="gramEnd"/>
      <w:r>
        <w:t xml:space="preserve"> aceitabilidade de consórcios como licitantes tem o potencial de ampliar a competitividade do certame, por outro lado a sua vedação, no presente caso concreto, tem o potencial de possibilitar a uma melhor gestão da obra, uma vez que diminui o número de atores envolvidos na solução dos problemas corriqueiros em obras de engenharia. </w:t>
      </w:r>
    </w:p>
    <w:p w:rsidR="00A72E13" w:rsidRDefault="00A72E13" w:rsidP="00650EBA">
      <w:pPr>
        <w:pStyle w:val="Pargrafo-1nvel"/>
        <w:keepNext/>
      </w:pPr>
      <w:r>
        <w:t>No caso específico das obras do PISF, as fiscalizações realizadas pelo Tribunal nos últimos anos, especialmente em 2010 e 2011, têm revelado um quadro de imensa dificuldade de supervisão e gerenciamento das obras em comento, o que tem gerando um enorme atraso de cronograma, precipuamente associado à demora do Ministério em solucionar as diversas questões técnicas advindas das falhas no projeto básico e à deficiente estrutura para fazer frente à complexidade do empreendimento.</w:t>
      </w:r>
    </w:p>
    <w:p w:rsidR="00A72E13" w:rsidRDefault="00A72E13" w:rsidP="00650EBA">
      <w:pPr>
        <w:pStyle w:val="Pargrafo-1nvel"/>
        <w:keepNext/>
      </w:pPr>
      <w:r>
        <w:t xml:space="preserve">Por outro lado, se as decisões de permitir ou vedar consórcios impõem, em tese, limitações aos princípios da busca da melhor proposta e da isonomia, </w:t>
      </w:r>
      <w:r w:rsidR="0043168E">
        <w:t xml:space="preserve">respectivamente, </w:t>
      </w:r>
      <w:r>
        <w:t>no presente caso concreto, entende-se que nenhuma das duas atinge o núcleo essencial dos aludidos princípios, a ponto de importar um sacrifício insuportável aos aludidos valores.</w:t>
      </w:r>
    </w:p>
    <w:p w:rsidR="00A72E13" w:rsidRDefault="00A72E13" w:rsidP="00650EBA">
      <w:pPr>
        <w:pStyle w:val="Pargrafo-1nvel"/>
        <w:keepNext/>
      </w:pPr>
      <w:r>
        <w:lastRenderedPageBreak/>
        <w:t xml:space="preserve">Se não se pode afirmar que a permissão de consórcios irá prejudicar a entrega da obra, na qualidade e prazo esperados, da mesma forma, não se pode afirmar que a limitação à participação de consórcios, no presente caso concreto, restringirá significativamente o universo de competidores. </w:t>
      </w:r>
    </w:p>
    <w:p w:rsidR="00A72E13" w:rsidRDefault="00A72E13" w:rsidP="00650EBA">
      <w:pPr>
        <w:pStyle w:val="Pargrafo-1nvel"/>
        <w:keepNext/>
      </w:pPr>
      <w:r>
        <w:t xml:space="preserve">Quanto a este último aspecto, deve-se relembrar que a outra cláusula apontada pela equipe de fiscalização como restritiva, a vedação ao somatório de atestados, foi corrigida pelo MI, de modo que não mais persiste a situação de restrição que advinha do conjunto de condições desarrazoadas impostas pela Administração. </w:t>
      </w:r>
    </w:p>
    <w:p w:rsidR="00A72E13" w:rsidRDefault="00A72E13" w:rsidP="00650EBA">
      <w:pPr>
        <w:pStyle w:val="Pargrafo-1nvel"/>
        <w:keepNext/>
      </w:pPr>
      <w:r>
        <w:t xml:space="preserve">Nesse cenário, entende-se que a Administração está diante de </w:t>
      </w:r>
      <w:proofErr w:type="gramStart"/>
      <w:r>
        <w:t>2</w:t>
      </w:r>
      <w:proofErr w:type="gramEnd"/>
      <w:r>
        <w:t xml:space="preserve"> opções que se mostram razoáveis dos pontos de vista técnico e jurídico, não havendo como se afirmar, de maneira inequívoca, diante dos diversos aspectos e circunstâncias envolvidas, qual das duas soluções atenderiam de modo mais intenso o interesse público primário da Administração Pública.</w:t>
      </w:r>
    </w:p>
    <w:p w:rsidR="00A72E13" w:rsidRDefault="00A72E13" w:rsidP="00650EBA">
      <w:pPr>
        <w:pStyle w:val="Pargrafo-1nvel"/>
        <w:keepNext/>
      </w:pPr>
      <w:r>
        <w:t xml:space="preserve">Dessa forma, estando-se diante de uma opção discricionária da Administração Pública e em uma posição intermediária entre duas zonas de certeza ou em </w:t>
      </w:r>
      <w:r w:rsidR="0090751A">
        <w:t>um</w:t>
      </w:r>
      <w:r>
        <w:t>a designada zona de penumbra, conclui-se não ser possível afirmar que a opção do MI em vedar a participação de consórcios, no pr</w:t>
      </w:r>
      <w:r w:rsidR="0043168E">
        <w:t>esente caso concreto, constitui</w:t>
      </w:r>
      <w:r>
        <w:t xml:space="preserve"> ato antijurídico, passível de ensejar a intervenção do órgão de controle, no sentido de determinar a correção do ato questionado.</w:t>
      </w:r>
    </w:p>
    <w:p w:rsidR="00A72E13" w:rsidRPr="00EA499E" w:rsidRDefault="00A72E13" w:rsidP="00650EBA">
      <w:pPr>
        <w:pStyle w:val="Pargrafo-1nvel"/>
        <w:keepNext/>
      </w:pPr>
      <w:r>
        <w:t xml:space="preserve">Desse modo, não restando demonstrado o pressuposto da fumaça do bom direito e, por </w:t>
      </w:r>
      <w:r w:rsidRPr="00EA499E">
        <w:t>consequência, não sendo possível imputar como irregular a decisão tomada pelo MI, no presente caso concreto, não mais persiste um dos pressupostos da concessão da medida cautelar, não havendo óbice à continuidade do certame.</w:t>
      </w:r>
    </w:p>
    <w:p w:rsidR="00A72E13" w:rsidRPr="00EA499E" w:rsidRDefault="00A72E13" w:rsidP="00650EBA">
      <w:pPr>
        <w:pStyle w:val="Pargrafo-1nvel"/>
        <w:keepNext/>
      </w:pPr>
      <w:r w:rsidRPr="00EA499E">
        <w:t xml:space="preserve">De todo modo, </w:t>
      </w:r>
      <w:r w:rsidR="00EA499E" w:rsidRPr="00EA499E">
        <w:t xml:space="preserve">faz-se oportuno a expedição de ofício de ciência ao MI, no sentido que a vedação de participação de empresas em consórcios, sem uma adequada motivação, constitui impropriedade, o que afronta o disposto nos </w:t>
      </w:r>
      <w:proofErr w:type="spellStart"/>
      <w:r w:rsidR="00EA499E" w:rsidRPr="00EA499E">
        <w:t>arts</w:t>
      </w:r>
      <w:proofErr w:type="spellEnd"/>
      <w:r w:rsidR="00EA499E" w:rsidRPr="00EA499E">
        <w:t>. 37, inciso XXI, da Constituição Federal de 1988, 3° da Lei 8.666/1993 e 2º e 50, da Lei 9.784, de 29 de janeiro de 1999.</w:t>
      </w:r>
    </w:p>
    <w:p w:rsidR="00872E53" w:rsidRDefault="00872E53" w:rsidP="00650EBA">
      <w:pPr>
        <w:pStyle w:val="Ttulononumerado-1nvel"/>
      </w:pPr>
      <w:r>
        <w:t>Conclusão</w:t>
      </w:r>
    </w:p>
    <w:p w:rsidR="00265D8E" w:rsidRDefault="00265D8E" w:rsidP="00650EBA">
      <w:pPr>
        <w:pStyle w:val="Pargrafo-1nvel"/>
        <w:keepNext/>
      </w:pPr>
      <w:r>
        <w:t xml:space="preserve">Após as análises realizadas, conclui-se que o Ministério da Integração Nacional sanou </w:t>
      </w:r>
      <w:r w:rsidRPr="00E63CA3">
        <w:t>as falhas identificadas no âmbito do Edital de Concorrência</w:t>
      </w:r>
      <w:proofErr w:type="gramStart"/>
      <w:r w:rsidRPr="00E63CA3">
        <w:t xml:space="preserve">  </w:t>
      </w:r>
      <w:proofErr w:type="gramEnd"/>
      <w:r w:rsidRPr="00E63CA3">
        <w:t>12011/2011-MI, relativo à execução de obras do Lote 5, eixo Norte, do PISF</w:t>
      </w:r>
      <w:r>
        <w:t>, as quais tinham sido indicadas no Acórdão 723/2012-</w:t>
      </w:r>
      <w:proofErr w:type="spellStart"/>
      <w:r>
        <w:t>TCU-Plenário</w:t>
      </w:r>
      <w:proofErr w:type="spellEnd"/>
      <w:r>
        <w:t xml:space="preserve">. </w:t>
      </w:r>
    </w:p>
    <w:p w:rsidR="00265D8E" w:rsidRDefault="00265D8E" w:rsidP="00650EBA">
      <w:pPr>
        <w:pStyle w:val="Pargrafo-1nvel"/>
        <w:keepNext/>
      </w:pPr>
      <w:r>
        <w:rPr>
          <w:rFonts w:ascii="Times-Roman" w:hAnsi="Times-Roman" w:cs="Times-Roman"/>
          <w:szCs w:val="24"/>
        </w:rPr>
        <w:t xml:space="preserve">No entanto, a vedação à participação de consórcio no certame merece consideração em separado. Dados a correção de todas as demais falhas apontadas pelo TCU, o caráter discricionário da decisão de permitir ou vedar consórcios, desde que justificado, e a impossibilidade de se afirmar, no presente caso concreto, quais das duas soluções atendem de maneira mais intensa o interesse público primário da Administração, conclui-se não ser possível classificar a opção do MI, em vedar a participação de consorcio no </w:t>
      </w:r>
      <w:r w:rsidRPr="00E63CA3">
        <w:t>Edital de Concorrência 12011/2011-MI</w:t>
      </w:r>
      <w:r>
        <w:t>, como um ato antijurídico, passível de ensejar a intervenção do órgão de controle, no sentido de determinar a correção do ato questionado</w:t>
      </w:r>
      <w:r>
        <w:rPr>
          <w:rFonts w:ascii="Times-Roman" w:hAnsi="Times-Roman" w:cs="Times-Roman"/>
          <w:szCs w:val="24"/>
        </w:rPr>
        <w:t xml:space="preserve">. </w:t>
      </w:r>
    </w:p>
    <w:p w:rsidR="00265D8E" w:rsidRDefault="00265D8E" w:rsidP="00650EBA">
      <w:pPr>
        <w:pStyle w:val="Pargrafo-1nvel"/>
        <w:keepNext/>
      </w:pPr>
      <w:r>
        <w:t xml:space="preserve">De todo modo, faz-se oportuno a expedição de ofício de ciência ao MI, no sentido de que a vedação à participação de empresas em consórcios, sem uma adequada motivação, constitui impropriedade, o que afronta o disposto nos </w:t>
      </w:r>
      <w:proofErr w:type="spellStart"/>
      <w:r>
        <w:t>arts</w:t>
      </w:r>
      <w:proofErr w:type="spellEnd"/>
      <w:r>
        <w:t>. 37, inciso XXI, da Constituição Federal de 1988, 3° da Lei 8.666/1993 e 2º e 50, da Lei 9.784, de 29 de janeiro de 1999.</w:t>
      </w:r>
    </w:p>
    <w:p w:rsidR="00265D8E" w:rsidRDefault="00265D8E" w:rsidP="00650EBA">
      <w:pPr>
        <w:pStyle w:val="Pargrafo-1nvel"/>
        <w:keepNext/>
      </w:pPr>
      <w:r>
        <w:t xml:space="preserve">No que se refere à última representação apresentada pelo </w:t>
      </w:r>
      <w:proofErr w:type="gramStart"/>
      <w:r>
        <w:t>Sr.</w:t>
      </w:r>
      <w:proofErr w:type="gramEnd"/>
      <w:r>
        <w:t xml:space="preserve"> Caio Júlio César Brandão Pinto, aponta-se,</w:t>
      </w:r>
      <w:r w:rsidRPr="002B2F8D">
        <w:t xml:space="preserve"> </w:t>
      </w:r>
      <w:r>
        <w:t xml:space="preserve">diante das considerações emanadas no exame técnico ora efetivado, que os argumentos apresentados não merecem acolhida, para o fim de sustar o andamento da licitação em exame. Por esse motivo, a aludida peça deve ser conhecida, com fundamento no art. 113, § 1º, da </w:t>
      </w:r>
      <w:r>
        <w:lastRenderedPageBreak/>
        <w:t>Lei 8.666/1993 c/c art. 235 e 237, inciso VII, do Regimento Interno do TCU, e, no mérito, considerada parcialmente procedente.</w:t>
      </w:r>
    </w:p>
    <w:p w:rsidR="00265D8E" w:rsidRDefault="00265D8E" w:rsidP="00650EBA">
      <w:pPr>
        <w:pStyle w:val="Pargrafo-1nvel"/>
        <w:keepNext/>
      </w:pPr>
      <w:r>
        <w:t>Quanto às demais representações acostadas nos processos apensados ao presente feito, conclui-se, pelos motivos expostos nesta e na instrução de que cuida a peça 31 do TC 001.814/2012-5, que as peças devem ser conhecidas, com fundamento no art. 113, § 1º, da Lei 8.666/1993 c/c art. 235 e 237, inciso VII, do Regimento Interno do TCU, e, no mérito, consideradas parcialmente procedentes.</w:t>
      </w:r>
    </w:p>
    <w:p w:rsidR="00265D8E" w:rsidRDefault="00265D8E" w:rsidP="00650EBA">
      <w:pPr>
        <w:pStyle w:val="Ttulononumerado-1nvel"/>
      </w:pPr>
      <w:r>
        <w:t>PROPOSTA DE ENCAMINHAMENTO</w:t>
      </w:r>
    </w:p>
    <w:p w:rsidR="00265D8E" w:rsidRDefault="00265D8E" w:rsidP="00650EBA">
      <w:pPr>
        <w:pStyle w:val="Pargrafo-1nvel"/>
        <w:keepNext/>
      </w:pPr>
      <w:r>
        <w:rPr>
          <w:rFonts w:ascii="Times-Roman" w:hAnsi="Times-Roman" w:cs="Times-Roman"/>
          <w:szCs w:val="24"/>
        </w:rPr>
        <w:t>Dia</w:t>
      </w:r>
      <w:r w:rsidRPr="0023585C">
        <w:rPr>
          <w:rFonts w:ascii="Times-Roman" w:hAnsi="Times-Roman" w:cs="Times-Roman"/>
          <w:szCs w:val="24"/>
        </w:rPr>
        <w:t xml:space="preserve">nte </w:t>
      </w:r>
      <w:r>
        <w:rPr>
          <w:rFonts w:ascii="Times-Roman" w:hAnsi="Times-Roman" w:cs="Times-Roman"/>
          <w:szCs w:val="24"/>
        </w:rPr>
        <w:t>d</w:t>
      </w:r>
      <w:r w:rsidRPr="0023585C">
        <w:rPr>
          <w:rFonts w:ascii="Times-Roman" w:hAnsi="Times-Roman" w:cs="Times-Roman"/>
          <w:szCs w:val="24"/>
        </w:rPr>
        <w:t>o exposto, submetem</w:t>
      </w:r>
      <w:r>
        <w:rPr>
          <w:rFonts w:ascii="Times-Roman" w:hAnsi="Times-Roman" w:cs="Times-Roman"/>
          <w:szCs w:val="24"/>
        </w:rPr>
        <w:t>-se</w:t>
      </w:r>
      <w:r w:rsidRPr="0023585C">
        <w:rPr>
          <w:rFonts w:ascii="Times-Roman" w:hAnsi="Times-Roman" w:cs="Times-Roman"/>
          <w:szCs w:val="24"/>
        </w:rPr>
        <w:t xml:space="preserve"> os autos à consideração superior, </w:t>
      </w:r>
      <w:r>
        <w:rPr>
          <w:rFonts w:ascii="Times-Roman" w:hAnsi="Times-Roman" w:cs="Times-Roman"/>
          <w:szCs w:val="24"/>
        </w:rPr>
        <w:t>com as seguintes propostas:</w:t>
      </w:r>
    </w:p>
    <w:p w:rsidR="000A6DBD" w:rsidRPr="000A6DBD" w:rsidRDefault="000A6DBD" w:rsidP="00650EBA">
      <w:pPr>
        <w:pStyle w:val="Pargrafo-2nvel"/>
        <w:keepNext/>
      </w:pPr>
      <w:r w:rsidRPr="000A6DBD">
        <w:t xml:space="preserve">Conhecer as representações formuladas pelas sociedades </w:t>
      </w:r>
      <w:proofErr w:type="gramStart"/>
      <w:r w:rsidRPr="000A6DBD">
        <w:t>empresárias Construtora</w:t>
      </w:r>
      <w:proofErr w:type="gramEnd"/>
      <w:r w:rsidRPr="000A6DBD">
        <w:t xml:space="preserve"> Ferreira Guedes S/A (CNPJ 61.099.826/0001-44) e Construtora </w:t>
      </w:r>
      <w:proofErr w:type="spellStart"/>
      <w:r w:rsidRPr="000A6DBD">
        <w:t>Aterpa</w:t>
      </w:r>
      <w:proofErr w:type="spellEnd"/>
      <w:r w:rsidRPr="000A6DBD">
        <w:t xml:space="preserve"> M. Martins S/A (CNPJ 17.162.983/0001-65) e pelo Sr. Júlio César Brandão Pinto (CPF 049.372.796-53), com fundamento no art. 113, § 1º, da Lei 8.666/1993 c/c o art. 235 e 237, inciso VII, do Regimento Interno do TCU, para, no mérito, considerá-las parcialmente procedentes.</w:t>
      </w:r>
    </w:p>
    <w:p w:rsidR="00265D8E" w:rsidRDefault="00265D8E" w:rsidP="00650EBA">
      <w:pPr>
        <w:pStyle w:val="Pargrafo-2nvel"/>
        <w:keepNext/>
      </w:pPr>
      <w:r>
        <w:rPr>
          <w:rFonts w:ascii="Times-Roman" w:hAnsi="Times-Roman" w:cs="Times-Roman"/>
          <w:szCs w:val="24"/>
        </w:rPr>
        <w:t xml:space="preserve">Determinar ao Ministério da Integração Nacional, </w:t>
      </w:r>
      <w:r>
        <w:t>com fulcro no art. 250, inciso II, do Regimento Interno do TCU, que finalize as atualizações de projeto das obras de adaptação do vertedor da Barragem de Atalho, promovendo licitação específica para a execução dos serviços, no prazo de 180 dias, para que não sobrevenham danos às estruturas da barragem e às áreas à sua jusante, na eventualidade de eventos hidrológicos de grandes proporções;</w:t>
      </w:r>
    </w:p>
    <w:p w:rsidR="00265D8E" w:rsidRDefault="00265D8E" w:rsidP="00650EBA">
      <w:pPr>
        <w:pStyle w:val="Pargrafo-2nvel"/>
        <w:keepNext/>
      </w:pPr>
      <w:r>
        <w:t xml:space="preserve">Dar ciência ao Ministério da Integração Nacional que </w:t>
      </w:r>
      <w:r w:rsidRPr="00AC62F2">
        <w:t>a vedação à participação de empresas em consórcios</w:t>
      </w:r>
      <w:r>
        <w:t>,</w:t>
      </w:r>
      <w:r w:rsidRPr="00AC62F2">
        <w:t xml:space="preserve"> sem uma adequada motivação, </w:t>
      </w:r>
      <w:r>
        <w:t xml:space="preserve">identificada </w:t>
      </w:r>
      <w:r w:rsidRPr="00AC62F2">
        <w:rPr>
          <w:rFonts w:ascii="Times-Roman" w:hAnsi="Times-Roman" w:cs="Times-Roman"/>
          <w:szCs w:val="24"/>
        </w:rPr>
        <w:t xml:space="preserve">no </w:t>
      </w:r>
      <w:r w:rsidRPr="00E63CA3">
        <w:t>Edital de Concorrência 12011/2011-MI</w:t>
      </w:r>
      <w:r>
        <w:t>,</w:t>
      </w:r>
      <w:r w:rsidRPr="00AC62F2">
        <w:t xml:space="preserve"> constitui impropriedade, o que afronta o disposto nos </w:t>
      </w:r>
      <w:proofErr w:type="spellStart"/>
      <w:r w:rsidRPr="00AC62F2">
        <w:t>arts</w:t>
      </w:r>
      <w:proofErr w:type="spellEnd"/>
      <w:r w:rsidRPr="00AC62F2">
        <w:t>. 37, inciso XXI, da Constituição Federal de 1988, 3° da Lei 8.666/1993</w:t>
      </w:r>
      <w:r>
        <w:t xml:space="preserve"> e</w:t>
      </w:r>
      <w:r w:rsidRPr="00AC62F2">
        <w:t xml:space="preserve"> 2º e 50 da Lei 9.784</w:t>
      </w:r>
      <w:r>
        <w:t>/1999;</w:t>
      </w:r>
    </w:p>
    <w:p w:rsidR="00265D8E" w:rsidRDefault="00265D8E" w:rsidP="00650EBA">
      <w:pPr>
        <w:pStyle w:val="Pargrafo-2nvel"/>
        <w:keepNext/>
      </w:pPr>
      <w:r>
        <w:t xml:space="preserve">Arquivar o presente processo, com fulcro nos </w:t>
      </w:r>
      <w:proofErr w:type="spellStart"/>
      <w:r>
        <w:t>arts</w:t>
      </w:r>
      <w:proofErr w:type="spellEnd"/>
      <w:r>
        <w:t xml:space="preserve">. </w:t>
      </w:r>
      <w:proofErr w:type="gramStart"/>
      <w:r>
        <w:t>169, III</w:t>
      </w:r>
      <w:proofErr w:type="gramEnd"/>
      <w:r>
        <w:t xml:space="preserve"> e V, do Regimento Interno do TCU.  </w:t>
      </w:r>
    </w:p>
    <w:p w:rsidR="00265D8E" w:rsidRDefault="00265D8E" w:rsidP="00650EBA">
      <w:pPr>
        <w:pStyle w:val="Fecho"/>
      </w:pPr>
    </w:p>
    <w:p w:rsidR="00617AC7" w:rsidRDefault="00617AC7" w:rsidP="00650EBA">
      <w:pPr>
        <w:pStyle w:val="Fecho"/>
      </w:pPr>
    </w:p>
    <w:p w:rsidR="004E662A" w:rsidRDefault="004E662A" w:rsidP="00650EBA">
      <w:pPr>
        <w:pStyle w:val="Pargrafo-1nvel"/>
        <w:keepNext/>
        <w:numPr>
          <w:ilvl w:val="0"/>
          <w:numId w:val="0"/>
        </w:numPr>
      </w:pPr>
    </w:p>
    <w:p w:rsidR="004E662A" w:rsidRDefault="004E662A" w:rsidP="00650EBA">
      <w:pPr>
        <w:pStyle w:val="Pargrafo-1nvel"/>
        <w:keepNext/>
        <w:numPr>
          <w:ilvl w:val="0"/>
          <w:numId w:val="0"/>
        </w:numPr>
      </w:pPr>
    </w:p>
    <w:p w:rsidR="00BC2E26" w:rsidRDefault="00686EB2" w:rsidP="00650EBA">
      <w:pPr>
        <w:pStyle w:val="Fecho"/>
        <w:tabs>
          <w:tab w:val="left" w:pos="284"/>
        </w:tabs>
        <w:ind w:left="1134"/>
        <w:jc w:val="left"/>
      </w:pPr>
      <w:proofErr w:type="spellStart"/>
      <w:r>
        <w:t>Secob</w:t>
      </w:r>
      <w:proofErr w:type="spellEnd"/>
      <w:r>
        <w:t>-4</w:t>
      </w:r>
      <w:r w:rsidR="00BC2E26" w:rsidRPr="00686EB2">
        <w:t xml:space="preserve">, </w:t>
      </w:r>
      <w:r w:rsidR="00076210">
        <w:t>2</w:t>
      </w:r>
      <w:r>
        <w:t xml:space="preserve">ª DT, </w:t>
      </w:r>
      <w:r w:rsidR="00165ECD">
        <w:t>1</w:t>
      </w:r>
      <w:r w:rsidR="002340DD">
        <w:t>4</w:t>
      </w:r>
      <w:r>
        <w:t xml:space="preserve"> de </w:t>
      </w:r>
      <w:r w:rsidR="00165ECD">
        <w:t>maio</w:t>
      </w:r>
      <w:r>
        <w:t xml:space="preserve"> de 201</w:t>
      </w:r>
      <w:r w:rsidR="00076210">
        <w:t>2</w:t>
      </w:r>
      <w:r>
        <w:t>.</w:t>
      </w:r>
    </w:p>
    <w:p w:rsidR="004E662A" w:rsidRDefault="004E662A" w:rsidP="00650EBA">
      <w:pPr>
        <w:pStyle w:val="Fecho"/>
      </w:pPr>
    </w:p>
    <w:p w:rsidR="004E662A" w:rsidRDefault="004E662A" w:rsidP="00650EBA">
      <w:pPr>
        <w:pStyle w:val="Fecho"/>
      </w:pPr>
    </w:p>
    <w:p w:rsidR="004E662A" w:rsidRDefault="004E662A" w:rsidP="00650EBA">
      <w:pPr>
        <w:pStyle w:val="Fecho"/>
      </w:pPr>
    </w:p>
    <w:p w:rsidR="004E662A" w:rsidRDefault="004E662A" w:rsidP="00650EBA">
      <w:pPr>
        <w:pStyle w:val="Fecho"/>
      </w:pPr>
    </w:p>
    <w:p w:rsidR="004E662A" w:rsidRDefault="00076210" w:rsidP="00650EBA">
      <w:pPr>
        <w:pStyle w:val="Fecho"/>
      </w:pPr>
      <w:r>
        <w:t>Maurício Ramos Jacintho de Almeida</w:t>
      </w:r>
    </w:p>
    <w:p w:rsidR="004E662A" w:rsidRDefault="00686EB2" w:rsidP="00650EBA">
      <w:pPr>
        <w:pStyle w:val="Fecho"/>
      </w:pPr>
      <w:r>
        <w:t xml:space="preserve">AUFC – matrícula </w:t>
      </w:r>
      <w:r w:rsidR="00076210">
        <w:t>9480-3</w:t>
      </w:r>
    </w:p>
    <w:sectPr w:rsidR="004E662A" w:rsidSect="00C83A35">
      <w:headerReference w:type="default" r:id="rId11"/>
      <w:pgSz w:w="11906" w:h="16838" w:code="9"/>
      <w:pgMar w:top="1871" w:right="851" w:bottom="765" w:left="1418" w:header="851" w:footer="652"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D8E" w:rsidRDefault="00265D8E" w:rsidP="00EA6AB5">
      <w:r>
        <w:separator/>
      </w:r>
    </w:p>
  </w:endnote>
  <w:endnote w:type="continuationSeparator" w:id="0">
    <w:p w:rsidR="00265D8E" w:rsidRDefault="00265D8E" w:rsidP="00EA6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D8E" w:rsidRDefault="00265D8E" w:rsidP="00EA6AB5">
      <w:r>
        <w:separator/>
      </w:r>
    </w:p>
  </w:footnote>
  <w:footnote w:type="continuationSeparator" w:id="0">
    <w:p w:rsidR="00265D8E" w:rsidRDefault="00265D8E" w:rsidP="00EA6A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D8E" w:rsidRPr="00C83A35" w:rsidRDefault="00F03F7A" w:rsidP="00C83A35">
    <w:pPr>
      <w:pStyle w:val="Cabealho"/>
    </w:pPr>
    <w:r>
      <w:rPr>
        <w:noProof/>
      </w:rPr>
      <w:pict>
        <v:shapetype id="_x0000_t202" coordsize="21600,21600" o:spt="202" path="m,l,21600r21600,l21600,xe">
          <v:stroke joinstyle="miter"/>
          <v:path gradientshapeok="t" o:connecttype="rect"/>
        </v:shapetype>
        <v:shape id="_x0000_s2060" type="#_x0000_t202" style="position:absolute;margin-left:413.8pt;margin-top:18.2pt;width:65.95pt;height:24.85pt;z-index:251668480" filled="f" stroked="f">
          <v:textbox style="mso-next-textbox:#_x0000_s2060">
            <w:txbxContent>
              <w:p w:rsidR="00265D8E" w:rsidRDefault="00F03F7A" w:rsidP="00C83A35">
                <w:pPr>
                  <w:jc w:val="right"/>
                </w:pPr>
                <w:fldSimple w:instr=" PAGE   \* MERGEFORMAT ">
                  <w:r w:rsidR="00E673C5">
                    <w:rPr>
                      <w:noProof/>
                    </w:rPr>
                    <w:t>14</w:t>
                  </w:r>
                </w:fldSimple>
              </w:p>
            </w:txbxContent>
          </v:textbox>
        </v:shape>
      </w:pict>
    </w:r>
    <w:r>
      <w:rPr>
        <w:noProof/>
      </w:rPr>
      <w:pict>
        <v:shape id="_x0000_s2058" type="#_x0000_t202" style="position:absolute;margin-left:43.1pt;margin-top:44.5pt;width:226.75pt;height:41.1pt;z-index:251666432;mso-position-horizontal-relative:margin;mso-position-vertical-relative:page" stroked="f">
          <v:textbox style="mso-next-textbox:#_x0000_s2058" inset=",2.83pt">
            <w:txbxContent>
              <w:p w:rsidR="00265D8E" w:rsidRDefault="00265D8E" w:rsidP="00C83A35">
                <w:pPr>
                  <w:spacing w:before="0"/>
                  <w:rPr>
                    <w:rFonts w:ascii="Arial" w:hAnsi="Arial" w:cs="Arial"/>
                    <w:b/>
                    <w:sz w:val="20"/>
                  </w:rPr>
                </w:pPr>
                <w:r>
                  <w:rPr>
                    <w:rFonts w:ascii="Arial" w:hAnsi="Arial" w:cs="Arial"/>
                    <w:b/>
                    <w:sz w:val="20"/>
                  </w:rPr>
                  <w:t>TRIBUNAL DE CONTAS DA UNIÃO</w:t>
                </w:r>
              </w:p>
              <w:p w:rsidR="00265D8E" w:rsidRDefault="00265D8E" w:rsidP="00C83A35">
                <w:pPr>
                  <w:spacing w:before="0"/>
                  <w:rPr>
                    <w:rFonts w:ascii="Arial" w:hAnsi="Arial" w:cs="Arial"/>
                    <w:b/>
                    <w:sz w:val="20"/>
                  </w:rPr>
                </w:pPr>
                <w:r>
                  <w:rPr>
                    <w:rFonts w:ascii="Arial" w:hAnsi="Arial" w:cs="Arial"/>
                    <w:b/>
                    <w:sz w:val="20"/>
                  </w:rPr>
                  <w:t>Secretaria-Geral de Controle Externo</w:t>
                </w:r>
              </w:p>
              <w:p w:rsidR="00265D8E" w:rsidRPr="00C83A35" w:rsidRDefault="00265D8E" w:rsidP="00C83A35">
                <w:pPr>
                  <w:spacing w:before="0"/>
                  <w:rPr>
                    <w:rFonts w:ascii="Arial" w:hAnsi="Arial" w:cs="Arial"/>
                    <w:b/>
                    <w:sz w:val="20"/>
                  </w:rPr>
                </w:pPr>
                <w:r>
                  <w:rPr>
                    <w:rFonts w:ascii="Arial" w:hAnsi="Arial" w:cs="Arial"/>
                    <w:b/>
                    <w:sz w:val="20"/>
                  </w:rPr>
                  <w:t>4ª Secretaria de Fiscalização de Obras</w:t>
                </w:r>
              </w:p>
            </w:txbxContent>
          </v:textbox>
          <w10:wrap anchorx="margin" anchory="page"/>
        </v:shape>
      </w:pict>
    </w:r>
    <w:r>
      <w:rPr>
        <w:noProof/>
      </w:rPr>
      <w:pict>
        <v:line id="_x0000_s2057" style="position:absolute;z-index:251665408;mso-position-horizontal-relative:margin" from="0,45.35pt" to="481.9pt,45.35pt">
          <w10:wrap anchorx="margin"/>
        </v:line>
      </w:pict>
    </w:r>
    <w:r w:rsidR="00265D8E">
      <w:rPr>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42925" cy="542925"/>
          <wp:effectExtent l="19050" t="0" r="9525" b="0"/>
          <wp:wrapNone/>
          <wp:docPr id="2" name="Imagem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2925" cy="5429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322C2"/>
    <w:multiLevelType w:val="multilevel"/>
    <w:tmpl w:val="5C9C4BFA"/>
    <w:lvl w:ilvl="0">
      <w:start w:val="1"/>
      <w:numFmt w:val="upperRoman"/>
      <w:pStyle w:val="Ttulonumerado-1nvel"/>
      <w:lvlText w:val="%1."/>
      <w:lvlJc w:val="left"/>
      <w:pPr>
        <w:ind w:left="360" w:hanging="360"/>
      </w:pPr>
      <w:rPr>
        <w:rFonts w:hint="default"/>
      </w:rPr>
    </w:lvl>
    <w:lvl w:ilvl="1">
      <w:start w:val="1"/>
      <w:numFmt w:val="decimal"/>
      <w:pStyle w:val="Ttulonumerado-2nvel"/>
      <w:lvlText w:val="%1.%2."/>
      <w:lvlJc w:val="left"/>
      <w:pPr>
        <w:ind w:left="792" w:hanging="432"/>
      </w:pPr>
    </w:lvl>
    <w:lvl w:ilvl="2">
      <w:start w:val="1"/>
      <w:numFmt w:val="decimal"/>
      <w:pStyle w:val="Ttulonumerado-3nvel"/>
      <w:lvlText w:val="%1.%2.%3."/>
      <w:lvlJc w:val="left"/>
      <w:pPr>
        <w:ind w:left="1224" w:hanging="504"/>
      </w:pPr>
    </w:lvl>
    <w:lvl w:ilvl="3">
      <w:start w:val="1"/>
      <w:numFmt w:val="decimal"/>
      <w:pStyle w:val="Ttulonumerado-4nve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3C40B6D"/>
    <w:multiLevelType w:val="hybridMultilevel"/>
    <w:tmpl w:val="72F81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9F4659"/>
    <w:multiLevelType w:val="hybridMultilevel"/>
    <w:tmpl w:val="07B648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3C7520B"/>
    <w:multiLevelType w:val="multilevel"/>
    <w:tmpl w:val="BADE5A64"/>
    <w:numStyleLink w:val="TCU"/>
  </w:abstractNum>
  <w:abstractNum w:abstractNumId="4">
    <w:nsid w:val="2B021C97"/>
    <w:multiLevelType w:val="hybridMultilevel"/>
    <w:tmpl w:val="35E4FE3C"/>
    <w:lvl w:ilvl="0" w:tplc="E0DE33E0">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24955BB"/>
    <w:multiLevelType w:val="multilevel"/>
    <w:tmpl w:val="BADE5A64"/>
    <w:styleLink w:val="TCU"/>
    <w:lvl w:ilvl="0">
      <w:start w:val="1"/>
      <w:numFmt w:val="lowerLetter"/>
      <w:pStyle w:val="ListadeInformaes"/>
      <w:lvlText w:val="%1)"/>
      <w:lvlJc w:val="left"/>
      <w:pPr>
        <w:tabs>
          <w:tab w:val="num" w:pos="1559"/>
        </w:tabs>
        <w:ind w:left="0" w:firstLine="1134"/>
      </w:pPr>
      <w:rPr>
        <w:rFonts w:hint="default"/>
      </w:rPr>
    </w:lvl>
    <w:lvl w:ilvl="1">
      <w:start w:val="1"/>
      <w:numFmt w:val="decimal"/>
      <w:lvlText w:val="%1.%2)"/>
      <w:lvlJc w:val="left"/>
      <w:pPr>
        <w:tabs>
          <w:tab w:val="num" w:pos="1701"/>
        </w:tabs>
        <w:ind w:left="0" w:firstLine="1134"/>
      </w:pPr>
      <w:rPr>
        <w:rFonts w:hint="default"/>
      </w:rPr>
    </w:lvl>
    <w:lvl w:ilvl="2">
      <w:start w:val="1"/>
      <w:numFmt w:val="decimal"/>
      <w:lvlText w:val="%1.%2.%3)"/>
      <w:lvlJc w:val="left"/>
      <w:pPr>
        <w:tabs>
          <w:tab w:val="num" w:pos="1843"/>
        </w:tabs>
        <w:ind w:left="0" w:firstLine="1134"/>
      </w:pPr>
      <w:rPr>
        <w:rFonts w:hint="default"/>
      </w:rPr>
    </w:lvl>
    <w:lvl w:ilvl="3">
      <w:start w:val="1"/>
      <w:numFmt w:val="decimal"/>
      <w:lvlText w:val="%1.%2.%3.%4)"/>
      <w:lvlJc w:val="left"/>
      <w:pPr>
        <w:tabs>
          <w:tab w:val="num" w:pos="1985"/>
        </w:tabs>
        <w:ind w:left="0" w:firstLine="1134"/>
      </w:pPr>
      <w:rPr>
        <w:rFonts w:hint="default"/>
        <w:b w:val="0"/>
        <w:i w:val="0"/>
        <w:color w:val="auto"/>
      </w:rPr>
    </w:lvl>
    <w:lvl w:ilvl="4">
      <w:start w:val="1"/>
      <w:numFmt w:val="decimal"/>
      <w:lvlText w:val="%1.%2.%3.%4.%5)"/>
      <w:lvlJc w:val="left"/>
      <w:pPr>
        <w:tabs>
          <w:tab w:val="num" w:pos="2126"/>
        </w:tabs>
        <w:ind w:left="0" w:firstLine="1134"/>
      </w:pPr>
      <w:rPr>
        <w:rFonts w:hint="default"/>
        <w:b w:val="0"/>
        <w:i w:val="0"/>
        <w:color w:val="auto"/>
      </w:rPr>
    </w:lvl>
    <w:lvl w:ilvl="5">
      <w:start w:val="1"/>
      <w:numFmt w:val="decimal"/>
      <w:lvlText w:val="%1.%2.%3.%4.%5.%6)"/>
      <w:lvlJc w:val="left"/>
      <w:pPr>
        <w:tabs>
          <w:tab w:val="num" w:pos="2410"/>
        </w:tabs>
        <w:ind w:left="0" w:firstLine="1134"/>
      </w:pPr>
      <w:rPr>
        <w:rFonts w:hint="default"/>
        <w:b w:val="0"/>
        <w:i w:val="0"/>
        <w:color w:val="auto"/>
      </w:rPr>
    </w:lvl>
    <w:lvl w:ilvl="6">
      <w:start w:val="1"/>
      <w:numFmt w:val="decimal"/>
      <w:lvlText w:val="%1.%2.%3.%4.%5.%6.%7)"/>
      <w:lvlJc w:val="left"/>
      <w:pPr>
        <w:tabs>
          <w:tab w:val="num" w:pos="2552"/>
        </w:tabs>
        <w:ind w:left="0" w:firstLine="1134"/>
      </w:pPr>
      <w:rPr>
        <w:rFonts w:hint="default"/>
        <w:b w:val="0"/>
        <w:i w:val="0"/>
        <w:color w:val="auto"/>
      </w:rPr>
    </w:lvl>
    <w:lvl w:ilvl="7">
      <w:start w:val="1"/>
      <w:numFmt w:val="decimal"/>
      <w:lvlText w:val="%1.%2.%3.%4.%5.%6.%7.%8)"/>
      <w:lvlJc w:val="left"/>
      <w:pPr>
        <w:tabs>
          <w:tab w:val="num" w:pos="2693"/>
        </w:tabs>
        <w:ind w:left="0" w:firstLine="1134"/>
      </w:pPr>
      <w:rPr>
        <w:rFonts w:hint="default"/>
        <w:b w:val="0"/>
        <w:i w:val="0"/>
        <w:color w:val="auto"/>
      </w:rPr>
    </w:lvl>
    <w:lvl w:ilvl="8">
      <w:start w:val="1"/>
      <w:numFmt w:val="decimal"/>
      <w:lvlText w:val="%1.%2.%3.%4.%5.%6.%7.%8.%9)"/>
      <w:lvlJc w:val="left"/>
      <w:pPr>
        <w:tabs>
          <w:tab w:val="num" w:pos="2977"/>
        </w:tabs>
        <w:ind w:left="0" w:firstLine="1134"/>
      </w:pPr>
      <w:rPr>
        <w:rFonts w:hint="default"/>
        <w:b w:val="0"/>
        <w:i w:val="0"/>
        <w:color w:val="auto"/>
      </w:rPr>
    </w:lvl>
  </w:abstractNum>
  <w:abstractNum w:abstractNumId="6">
    <w:nsid w:val="3327106F"/>
    <w:multiLevelType w:val="multilevel"/>
    <w:tmpl w:val="A3100AD4"/>
    <w:lvl w:ilvl="0">
      <w:start w:val="1"/>
      <w:numFmt w:val="upperRoman"/>
      <w:pStyle w:val="Ttulo1"/>
      <w:lvlText w:val="%1."/>
      <w:lvlJc w:val="left"/>
      <w:pPr>
        <w:ind w:left="284" w:hanging="284"/>
      </w:pPr>
      <w:rPr>
        <w:rFonts w:ascii="Times New Roman" w:hAnsi="Times New Roman" w:hint="default"/>
        <w:b/>
        <w:i w:val="0"/>
        <w:color w:val="auto"/>
        <w:sz w:val="24"/>
      </w:rPr>
    </w:lvl>
    <w:lvl w:ilvl="1">
      <w:start w:val="1"/>
      <w:numFmt w:val="decimal"/>
      <w:pStyle w:val="Ttulo2"/>
      <w:lvlText w:val="%1.%2"/>
      <w:lvlJc w:val="left"/>
      <w:pPr>
        <w:ind w:left="284" w:hanging="284"/>
      </w:pPr>
      <w:rPr>
        <w:rFonts w:hint="default"/>
      </w:rPr>
    </w:lvl>
    <w:lvl w:ilvl="2">
      <w:start w:val="1"/>
      <w:numFmt w:val="decimal"/>
      <w:pStyle w:val="Ttulo3"/>
      <w:lvlText w:val="%1.%2.%3"/>
      <w:lvlJc w:val="left"/>
      <w:pPr>
        <w:ind w:left="284" w:hanging="284"/>
      </w:pPr>
      <w:rPr>
        <w:rFonts w:hint="default"/>
      </w:rPr>
    </w:lvl>
    <w:lvl w:ilvl="3">
      <w:start w:val="1"/>
      <w:numFmt w:val="decimal"/>
      <w:pStyle w:val="Ttulo4"/>
      <w:lvlText w:val="%1.%2.%3.%4"/>
      <w:lvlJc w:val="left"/>
      <w:pPr>
        <w:ind w:left="284" w:hanging="284"/>
      </w:pPr>
      <w:rPr>
        <w:rFonts w:hint="default"/>
      </w:rPr>
    </w:lvl>
    <w:lvl w:ilvl="4">
      <w:start w:val="1"/>
      <w:numFmt w:val="decimal"/>
      <w:pStyle w:val="Ttulo5"/>
      <w:lvlText w:val="%1.%2.%3.%4.%5"/>
      <w:lvlJc w:val="left"/>
      <w:pPr>
        <w:ind w:left="284" w:hanging="284"/>
      </w:pPr>
      <w:rPr>
        <w:rFonts w:hint="default"/>
      </w:rPr>
    </w:lvl>
    <w:lvl w:ilvl="5">
      <w:start w:val="1"/>
      <w:numFmt w:val="decimal"/>
      <w:pStyle w:val="Ttulo6"/>
      <w:lvlText w:val="%1.%2.%3.%4.%5.%6"/>
      <w:lvlJc w:val="left"/>
      <w:pPr>
        <w:ind w:left="284" w:hanging="284"/>
      </w:pPr>
      <w:rPr>
        <w:rFonts w:hint="default"/>
      </w:rPr>
    </w:lvl>
    <w:lvl w:ilvl="6">
      <w:start w:val="1"/>
      <w:numFmt w:val="decimal"/>
      <w:pStyle w:val="Ttulo7"/>
      <w:lvlText w:val="%1.%2.%3.%4.%5.%6.%7"/>
      <w:lvlJc w:val="left"/>
      <w:pPr>
        <w:ind w:left="284" w:hanging="284"/>
      </w:pPr>
      <w:rPr>
        <w:rFonts w:hint="default"/>
      </w:rPr>
    </w:lvl>
    <w:lvl w:ilvl="7">
      <w:start w:val="1"/>
      <w:numFmt w:val="decimal"/>
      <w:pStyle w:val="Ttulo8"/>
      <w:lvlText w:val="%1.%2.%3.%4.%5.%6.%7.%8"/>
      <w:lvlJc w:val="left"/>
      <w:pPr>
        <w:ind w:left="284" w:hanging="284"/>
      </w:pPr>
      <w:rPr>
        <w:rFonts w:hint="default"/>
      </w:rPr>
    </w:lvl>
    <w:lvl w:ilvl="8">
      <w:start w:val="1"/>
      <w:numFmt w:val="decimal"/>
      <w:pStyle w:val="Ttulo9"/>
      <w:lvlText w:val="%1.%2.%3.%4.%5.%6.%7.%8.%9"/>
      <w:lvlJc w:val="left"/>
      <w:pPr>
        <w:ind w:left="284" w:hanging="284"/>
      </w:pPr>
      <w:rPr>
        <w:rFonts w:hint="default"/>
      </w:rPr>
    </w:lvl>
  </w:abstractNum>
  <w:abstractNum w:abstractNumId="7">
    <w:nsid w:val="38A6793B"/>
    <w:multiLevelType w:val="hybridMultilevel"/>
    <w:tmpl w:val="5F34BD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F867DCC"/>
    <w:multiLevelType w:val="multilevel"/>
    <w:tmpl w:val="BE380E7A"/>
    <w:styleLink w:val="1nvel"/>
    <w:lvl w:ilvl="0">
      <w:start w:val="1"/>
      <w:numFmt w:val="upperRoman"/>
      <w:lvlText w:val="%1."/>
      <w:lvlJc w:val="left"/>
      <w:pPr>
        <w:ind w:left="0" w:firstLine="0"/>
      </w:pPr>
      <w:rPr>
        <w:rFonts w:ascii="Times New Roman" w:hAnsi="Times New Roman"/>
        <w:b/>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nsid w:val="4F867E80"/>
    <w:multiLevelType w:val="hybridMultilevel"/>
    <w:tmpl w:val="F2AAFEC8"/>
    <w:lvl w:ilvl="0" w:tplc="4036DC66">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10">
    <w:nsid w:val="5DB37808"/>
    <w:multiLevelType w:val="hybridMultilevel"/>
    <w:tmpl w:val="060AE788"/>
    <w:lvl w:ilvl="0" w:tplc="9D4E3A6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02A6CDC"/>
    <w:multiLevelType w:val="multilevel"/>
    <w:tmpl w:val="19A40656"/>
    <w:styleLink w:val="Estilo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nsid w:val="67377D75"/>
    <w:multiLevelType w:val="hybridMultilevel"/>
    <w:tmpl w:val="AF3C02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85B4A78"/>
    <w:multiLevelType w:val="hybridMultilevel"/>
    <w:tmpl w:val="DC30C5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BD46DD9"/>
    <w:multiLevelType w:val="multilevel"/>
    <w:tmpl w:val="01022246"/>
    <w:lvl w:ilvl="0">
      <w:start w:val="1"/>
      <w:numFmt w:val="decimal"/>
      <w:pStyle w:val="Pargrafo-1nvel"/>
      <w:lvlText w:val="%1."/>
      <w:lvlJc w:val="left"/>
      <w:pPr>
        <w:ind w:left="0" w:firstLine="0"/>
      </w:pPr>
      <w:rPr>
        <w:rFonts w:hint="default"/>
      </w:rPr>
    </w:lvl>
    <w:lvl w:ilvl="1">
      <w:start w:val="1"/>
      <w:numFmt w:val="decimal"/>
      <w:pStyle w:val="Pargrafo-2nvel"/>
      <w:lvlText w:val="%1.%2."/>
      <w:lvlJc w:val="left"/>
      <w:pPr>
        <w:ind w:left="0" w:firstLine="0"/>
      </w:pPr>
      <w:rPr>
        <w:rFonts w:hint="default"/>
      </w:rPr>
    </w:lvl>
    <w:lvl w:ilvl="2">
      <w:start w:val="1"/>
      <w:numFmt w:val="decimal"/>
      <w:pStyle w:val="Pargrafo-3nvel"/>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5">
    <w:nsid w:val="7449745B"/>
    <w:multiLevelType w:val="hybridMultilevel"/>
    <w:tmpl w:val="8CF4F3DC"/>
    <w:lvl w:ilvl="0" w:tplc="34003A0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16">
    <w:nsid w:val="74A776CD"/>
    <w:multiLevelType w:val="multilevel"/>
    <w:tmpl w:val="B2F2810E"/>
    <w:styleLink w:val="Estilo1"/>
    <w:lvl w:ilvl="0">
      <w:start w:val="1"/>
      <w:numFmt w:val="upperRoman"/>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11"/>
  </w:num>
  <w:num w:numId="3">
    <w:abstractNumId w:val="5"/>
  </w:num>
  <w:num w:numId="4">
    <w:abstractNumId w:val="8"/>
  </w:num>
  <w:num w:numId="5">
    <w:abstractNumId w:val="6"/>
  </w:num>
  <w:num w:numId="6">
    <w:abstractNumId w:val="14"/>
  </w:num>
  <w:num w:numId="7">
    <w:abstractNumId w:val="0"/>
  </w:num>
  <w:num w:numId="8">
    <w:abstractNumId w:val="3"/>
  </w:num>
  <w:num w:numId="9">
    <w:abstractNumId w:val="9"/>
  </w:num>
  <w:num w:numId="10">
    <w:abstractNumId w:val="15"/>
  </w:num>
  <w:num w:numId="11">
    <w:abstractNumId w:val="7"/>
  </w:num>
  <w:num w:numId="12">
    <w:abstractNumId w:val="1"/>
  </w:num>
  <w:num w:numId="13">
    <w:abstractNumId w:val="2"/>
  </w:num>
  <w:num w:numId="14">
    <w:abstractNumId w:val="14"/>
  </w:num>
  <w:num w:numId="15">
    <w:abstractNumId w:val="12"/>
  </w:num>
  <w:num w:numId="16">
    <w:abstractNumId w:val="4"/>
  </w:num>
  <w:num w:numId="17">
    <w:abstractNumId w:val="10"/>
  </w:num>
  <w:num w:numId="18">
    <w:abstractNumId w:val="13"/>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0"/>
  </w:num>
  <w:num w:numId="35">
    <w:abstractNumId w:val="0"/>
  </w:num>
  <w:num w:numId="36">
    <w:abstractNumId w:val="14"/>
  </w:num>
  <w:num w:numId="37">
    <w:abstractNumId w:val="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5004"/>
  <w:stylePaneSortMethod w:val="0000"/>
  <w:defaultTabStop w:val="709"/>
  <w:hyphenationZone w:val="425"/>
  <w:drawingGridHorizontalSpacing w:val="120"/>
  <w:displayHorizontalDrawingGridEvery w:val="2"/>
  <w:displayVertic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rsids>
    <w:rsidRoot w:val="005263AA"/>
    <w:rsid w:val="0000182C"/>
    <w:rsid w:val="00001E59"/>
    <w:rsid w:val="0000549A"/>
    <w:rsid w:val="00013C45"/>
    <w:rsid w:val="0001458F"/>
    <w:rsid w:val="00016C70"/>
    <w:rsid w:val="00016DC2"/>
    <w:rsid w:val="00021150"/>
    <w:rsid w:val="00023DDF"/>
    <w:rsid w:val="00026632"/>
    <w:rsid w:val="00026966"/>
    <w:rsid w:val="00037825"/>
    <w:rsid w:val="00041971"/>
    <w:rsid w:val="00041E88"/>
    <w:rsid w:val="00046EFD"/>
    <w:rsid w:val="00071723"/>
    <w:rsid w:val="00073687"/>
    <w:rsid w:val="00076210"/>
    <w:rsid w:val="00076350"/>
    <w:rsid w:val="000765E3"/>
    <w:rsid w:val="00080B86"/>
    <w:rsid w:val="00084917"/>
    <w:rsid w:val="00085353"/>
    <w:rsid w:val="00085D2A"/>
    <w:rsid w:val="00086AA7"/>
    <w:rsid w:val="000906B2"/>
    <w:rsid w:val="00093AFA"/>
    <w:rsid w:val="000A6DBD"/>
    <w:rsid w:val="000B0B5D"/>
    <w:rsid w:val="000B2AFA"/>
    <w:rsid w:val="000B3679"/>
    <w:rsid w:val="000B7628"/>
    <w:rsid w:val="000E0873"/>
    <w:rsid w:val="000E1BA5"/>
    <w:rsid w:val="000F0B10"/>
    <w:rsid w:val="000F2F45"/>
    <w:rsid w:val="000F667A"/>
    <w:rsid w:val="000F7E37"/>
    <w:rsid w:val="000F7EBC"/>
    <w:rsid w:val="0010062B"/>
    <w:rsid w:val="00102A2F"/>
    <w:rsid w:val="001107EE"/>
    <w:rsid w:val="0011379C"/>
    <w:rsid w:val="00115744"/>
    <w:rsid w:val="00124133"/>
    <w:rsid w:val="00133A5B"/>
    <w:rsid w:val="00140535"/>
    <w:rsid w:val="001434F1"/>
    <w:rsid w:val="0014462C"/>
    <w:rsid w:val="00146BDC"/>
    <w:rsid w:val="00147136"/>
    <w:rsid w:val="001472E9"/>
    <w:rsid w:val="001525A3"/>
    <w:rsid w:val="001531E2"/>
    <w:rsid w:val="001557B0"/>
    <w:rsid w:val="001561BA"/>
    <w:rsid w:val="001602DF"/>
    <w:rsid w:val="0016274F"/>
    <w:rsid w:val="00165ECD"/>
    <w:rsid w:val="00176B60"/>
    <w:rsid w:val="00176DD5"/>
    <w:rsid w:val="0017733E"/>
    <w:rsid w:val="0018588C"/>
    <w:rsid w:val="00190197"/>
    <w:rsid w:val="001A3DDF"/>
    <w:rsid w:val="001A4238"/>
    <w:rsid w:val="001A5E8B"/>
    <w:rsid w:val="001A5F89"/>
    <w:rsid w:val="001B2D96"/>
    <w:rsid w:val="001C1199"/>
    <w:rsid w:val="001C407C"/>
    <w:rsid w:val="001C720F"/>
    <w:rsid w:val="001D19F8"/>
    <w:rsid w:val="001D22DE"/>
    <w:rsid w:val="001D6EEF"/>
    <w:rsid w:val="001E4147"/>
    <w:rsid w:val="001E4F2F"/>
    <w:rsid w:val="001F30C5"/>
    <w:rsid w:val="00224E6B"/>
    <w:rsid w:val="002278C7"/>
    <w:rsid w:val="002340DD"/>
    <w:rsid w:val="002373A6"/>
    <w:rsid w:val="0024167F"/>
    <w:rsid w:val="00245F96"/>
    <w:rsid w:val="00250D0F"/>
    <w:rsid w:val="00251E66"/>
    <w:rsid w:val="00255EEC"/>
    <w:rsid w:val="00257AB5"/>
    <w:rsid w:val="002604C3"/>
    <w:rsid w:val="00265D8E"/>
    <w:rsid w:val="00267EBD"/>
    <w:rsid w:val="0028050D"/>
    <w:rsid w:val="0029238D"/>
    <w:rsid w:val="00292953"/>
    <w:rsid w:val="00295235"/>
    <w:rsid w:val="002A3B3F"/>
    <w:rsid w:val="002B01EE"/>
    <w:rsid w:val="002C136E"/>
    <w:rsid w:val="002C1D3E"/>
    <w:rsid w:val="002E0CB2"/>
    <w:rsid w:val="002F17B9"/>
    <w:rsid w:val="002F4E0E"/>
    <w:rsid w:val="003010B2"/>
    <w:rsid w:val="00302208"/>
    <w:rsid w:val="00304167"/>
    <w:rsid w:val="003068E4"/>
    <w:rsid w:val="00310355"/>
    <w:rsid w:val="00310CDF"/>
    <w:rsid w:val="0031176F"/>
    <w:rsid w:val="003122FE"/>
    <w:rsid w:val="003146D4"/>
    <w:rsid w:val="003305D0"/>
    <w:rsid w:val="00331840"/>
    <w:rsid w:val="00332086"/>
    <w:rsid w:val="0033488A"/>
    <w:rsid w:val="00335727"/>
    <w:rsid w:val="0034204D"/>
    <w:rsid w:val="00344568"/>
    <w:rsid w:val="00346EEC"/>
    <w:rsid w:val="003535A2"/>
    <w:rsid w:val="0035362B"/>
    <w:rsid w:val="0037117B"/>
    <w:rsid w:val="0037155F"/>
    <w:rsid w:val="00372245"/>
    <w:rsid w:val="00373A45"/>
    <w:rsid w:val="003754F4"/>
    <w:rsid w:val="00377033"/>
    <w:rsid w:val="00381C8B"/>
    <w:rsid w:val="00387B95"/>
    <w:rsid w:val="00396F60"/>
    <w:rsid w:val="003A3085"/>
    <w:rsid w:val="003B2BFF"/>
    <w:rsid w:val="003B2F78"/>
    <w:rsid w:val="003B44BB"/>
    <w:rsid w:val="003B4FCF"/>
    <w:rsid w:val="003C155A"/>
    <w:rsid w:val="003D0D1D"/>
    <w:rsid w:val="003D1771"/>
    <w:rsid w:val="003E0152"/>
    <w:rsid w:val="003E0F4D"/>
    <w:rsid w:val="003E734E"/>
    <w:rsid w:val="003F5354"/>
    <w:rsid w:val="003F56F6"/>
    <w:rsid w:val="003F62B2"/>
    <w:rsid w:val="004009E4"/>
    <w:rsid w:val="004010C3"/>
    <w:rsid w:val="00412604"/>
    <w:rsid w:val="00412E10"/>
    <w:rsid w:val="00417BD0"/>
    <w:rsid w:val="0042130A"/>
    <w:rsid w:val="0043168E"/>
    <w:rsid w:val="0043629A"/>
    <w:rsid w:val="0043714B"/>
    <w:rsid w:val="004466A0"/>
    <w:rsid w:val="00460A55"/>
    <w:rsid w:val="0046527A"/>
    <w:rsid w:val="004660AB"/>
    <w:rsid w:val="00471D07"/>
    <w:rsid w:val="0047466E"/>
    <w:rsid w:val="00474F6C"/>
    <w:rsid w:val="00475CCB"/>
    <w:rsid w:val="00477ED2"/>
    <w:rsid w:val="00480A84"/>
    <w:rsid w:val="004828D5"/>
    <w:rsid w:val="0048547A"/>
    <w:rsid w:val="004973FF"/>
    <w:rsid w:val="004A1C3A"/>
    <w:rsid w:val="004B0C27"/>
    <w:rsid w:val="004B70AD"/>
    <w:rsid w:val="004B7902"/>
    <w:rsid w:val="004D59A2"/>
    <w:rsid w:val="004E2EF9"/>
    <w:rsid w:val="004E662A"/>
    <w:rsid w:val="004E7591"/>
    <w:rsid w:val="004F3763"/>
    <w:rsid w:val="00505663"/>
    <w:rsid w:val="0050782B"/>
    <w:rsid w:val="0051099B"/>
    <w:rsid w:val="005117F7"/>
    <w:rsid w:val="00511A3D"/>
    <w:rsid w:val="00512C67"/>
    <w:rsid w:val="00521B5D"/>
    <w:rsid w:val="00523E30"/>
    <w:rsid w:val="00525722"/>
    <w:rsid w:val="005263AA"/>
    <w:rsid w:val="0052761F"/>
    <w:rsid w:val="00546EE1"/>
    <w:rsid w:val="00554E86"/>
    <w:rsid w:val="0055503E"/>
    <w:rsid w:val="005602C7"/>
    <w:rsid w:val="00570B04"/>
    <w:rsid w:val="00576B3B"/>
    <w:rsid w:val="00595158"/>
    <w:rsid w:val="005A0B2A"/>
    <w:rsid w:val="005A0F05"/>
    <w:rsid w:val="005A6341"/>
    <w:rsid w:val="005C6BAB"/>
    <w:rsid w:val="005E1032"/>
    <w:rsid w:val="005F0803"/>
    <w:rsid w:val="005F5020"/>
    <w:rsid w:val="00615E7C"/>
    <w:rsid w:val="00617AC7"/>
    <w:rsid w:val="006218B4"/>
    <w:rsid w:val="00621F8E"/>
    <w:rsid w:val="0062382B"/>
    <w:rsid w:val="00634DF6"/>
    <w:rsid w:val="00635C56"/>
    <w:rsid w:val="006368FA"/>
    <w:rsid w:val="0064215B"/>
    <w:rsid w:val="00642BBA"/>
    <w:rsid w:val="006452B9"/>
    <w:rsid w:val="00650EBA"/>
    <w:rsid w:val="006525B5"/>
    <w:rsid w:val="0065265C"/>
    <w:rsid w:val="00654002"/>
    <w:rsid w:val="00662845"/>
    <w:rsid w:val="00676E2B"/>
    <w:rsid w:val="006821AB"/>
    <w:rsid w:val="00686EB2"/>
    <w:rsid w:val="00687401"/>
    <w:rsid w:val="00687E95"/>
    <w:rsid w:val="00690663"/>
    <w:rsid w:val="00691302"/>
    <w:rsid w:val="00691A65"/>
    <w:rsid w:val="00696804"/>
    <w:rsid w:val="006B1815"/>
    <w:rsid w:val="006B4FE6"/>
    <w:rsid w:val="006C27E4"/>
    <w:rsid w:val="006C4796"/>
    <w:rsid w:val="006D072A"/>
    <w:rsid w:val="006E1E78"/>
    <w:rsid w:val="006E2786"/>
    <w:rsid w:val="006E43FC"/>
    <w:rsid w:val="006E645C"/>
    <w:rsid w:val="006F42FC"/>
    <w:rsid w:val="00702522"/>
    <w:rsid w:val="00712FC0"/>
    <w:rsid w:val="00714240"/>
    <w:rsid w:val="00716B28"/>
    <w:rsid w:val="0071757B"/>
    <w:rsid w:val="00720AD2"/>
    <w:rsid w:val="007214EF"/>
    <w:rsid w:val="007301EA"/>
    <w:rsid w:val="0074074F"/>
    <w:rsid w:val="0074477C"/>
    <w:rsid w:val="0074571D"/>
    <w:rsid w:val="007460EB"/>
    <w:rsid w:val="0075179B"/>
    <w:rsid w:val="00751A90"/>
    <w:rsid w:val="007574A6"/>
    <w:rsid w:val="007604F9"/>
    <w:rsid w:val="007647EC"/>
    <w:rsid w:val="00764EF7"/>
    <w:rsid w:val="0077288B"/>
    <w:rsid w:val="00772ABB"/>
    <w:rsid w:val="00780478"/>
    <w:rsid w:val="00786437"/>
    <w:rsid w:val="00790DA4"/>
    <w:rsid w:val="007A1A35"/>
    <w:rsid w:val="007C226F"/>
    <w:rsid w:val="007C2898"/>
    <w:rsid w:val="007D19A4"/>
    <w:rsid w:val="007D1B20"/>
    <w:rsid w:val="007D283A"/>
    <w:rsid w:val="007D5B33"/>
    <w:rsid w:val="007D7FD6"/>
    <w:rsid w:val="007E27E3"/>
    <w:rsid w:val="007E3C47"/>
    <w:rsid w:val="007E5E5C"/>
    <w:rsid w:val="007F3CC9"/>
    <w:rsid w:val="007F5DE1"/>
    <w:rsid w:val="00801B59"/>
    <w:rsid w:val="0080645E"/>
    <w:rsid w:val="0081105B"/>
    <w:rsid w:val="00812092"/>
    <w:rsid w:val="008173E0"/>
    <w:rsid w:val="0082112A"/>
    <w:rsid w:val="00826DA7"/>
    <w:rsid w:val="0083030D"/>
    <w:rsid w:val="00833A64"/>
    <w:rsid w:val="00835F7E"/>
    <w:rsid w:val="0083685F"/>
    <w:rsid w:val="008441F0"/>
    <w:rsid w:val="00853C40"/>
    <w:rsid w:val="00856FAC"/>
    <w:rsid w:val="00857BAA"/>
    <w:rsid w:val="00872E53"/>
    <w:rsid w:val="00874723"/>
    <w:rsid w:val="00876868"/>
    <w:rsid w:val="008811A0"/>
    <w:rsid w:val="008840D8"/>
    <w:rsid w:val="0088735A"/>
    <w:rsid w:val="008903E4"/>
    <w:rsid w:val="008A0726"/>
    <w:rsid w:val="008B3854"/>
    <w:rsid w:val="008B4B96"/>
    <w:rsid w:val="008B584E"/>
    <w:rsid w:val="008C51A6"/>
    <w:rsid w:val="008C5B84"/>
    <w:rsid w:val="008C7927"/>
    <w:rsid w:val="008C7B40"/>
    <w:rsid w:val="008D3AB4"/>
    <w:rsid w:val="008D6844"/>
    <w:rsid w:val="008F0C5A"/>
    <w:rsid w:val="008F2AB8"/>
    <w:rsid w:val="008F55C4"/>
    <w:rsid w:val="008F74DD"/>
    <w:rsid w:val="00900E2B"/>
    <w:rsid w:val="009011B9"/>
    <w:rsid w:val="0090751A"/>
    <w:rsid w:val="00912965"/>
    <w:rsid w:val="00930B7D"/>
    <w:rsid w:val="00933F74"/>
    <w:rsid w:val="00935002"/>
    <w:rsid w:val="0093523C"/>
    <w:rsid w:val="009355E1"/>
    <w:rsid w:val="009374F0"/>
    <w:rsid w:val="0094548C"/>
    <w:rsid w:val="0094597A"/>
    <w:rsid w:val="0094636B"/>
    <w:rsid w:val="00951BC8"/>
    <w:rsid w:val="0095284E"/>
    <w:rsid w:val="009552B3"/>
    <w:rsid w:val="0096400F"/>
    <w:rsid w:val="009641FD"/>
    <w:rsid w:val="009650BD"/>
    <w:rsid w:val="0096553B"/>
    <w:rsid w:val="00965A97"/>
    <w:rsid w:val="009777B1"/>
    <w:rsid w:val="00981BA5"/>
    <w:rsid w:val="00983783"/>
    <w:rsid w:val="00983FF9"/>
    <w:rsid w:val="00985917"/>
    <w:rsid w:val="00993383"/>
    <w:rsid w:val="009937A7"/>
    <w:rsid w:val="009A3CD0"/>
    <w:rsid w:val="009A4087"/>
    <w:rsid w:val="009B6FF4"/>
    <w:rsid w:val="009C030E"/>
    <w:rsid w:val="009C0F39"/>
    <w:rsid w:val="009C3632"/>
    <w:rsid w:val="009C7034"/>
    <w:rsid w:val="009C7EE3"/>
    <w:rsid w:val="009D0466"/>
    <w:rsid w:val="009D05A8"/>
    <w:rsid w:val="009D0CBC"/>
    <w:rsid w:val="009D25EE"/>
    <w:rsid w:val="009E42D1"/>
    <w:rsid w:val="009E5D26"/>
    <w:rsid w:val="009F2416"/>
    <w:rsid w:val="009F3A54"/>
    <w:rsid w:val="00A01ADA"/>
    <w:rsid w:val="00A05CB8"/>
    <w:rsid w:val="00A12D3A"/>
    <w:rsid w:val="00A21C97"/>
    <w:rsid w:val="00A2601C"/>
    <w:rsid w:val="00A37A5A"/>
    <w:rsid w:val="00A4220F"/>
    <w:rsid w:val="00A47134"/>
    <w:rsid w:val="00A51179"/>
    <w:rsid w:val="00A527D7"/>
    <w:rsid w:val="00A57B20"/>
    <w:rsid w:val="00A6693C"/>
    <w:rsid w:val="00A72E13"/>
    <w:rsid w:val="00A731AF"/>
    <w:rsid w:val="00A90F17"/>
    <w:rsid w:val="00A93BD1"/>
    <w:rsid w:val="00A96D27"/>
    <w:rsid w:val="00A96FEF"/>
    <w:rsid w:val="00AB39A4"/>
    <w:rsid w:val="00AB3B73"/>
    <w:rsid w:val="00AC14E4"/>
    <w:rsid w:val="00AC7248"/>
    <w:rsid w:val="00AD4A6F"/>
    <w:rsid w:val="00AD749C"/>
    <w:rsid w:val="00AE3012"/>
    <w:rsid w:val="00AE3820"/>
    <w:rsid w:val="00AE4496"/>
    <w:rsid w:val="00AF0A39"/>
    <w:rsid w:val="00B005B0"/>
    <w:rsid w:val="00B0569A"/>
    <w:rsid w:val="00B056B9"/>
    <w:rsid w:val="00B0570C"/>
    <w:rsid w:val="00B15043"/>
    <w:rsid w:val="00B23FBD"/>
    <w:rsid w:val="00B266A9"/>
    <w:rsid w:val="00B33927"/>
    <w:rsid w:val="00B44ECA"/>
    <w:rsid w:val="00B47959"/>
    <w:rsid w:val="00B54AC0"/>
    <w:rsid w:val="00B55492"/>
    <w:rsid w:val="00B879AA"/>
    <w:rsid w:val="00B94EA5"/>
    <w:rsid w:val="00B97213"/>
    <w:rsid w:val="00BA241B"/>
    <w:rsid w:val="00BA4CAA"/>
    <w:rsid w:val="00BC01AF"/>
    <w:rsid w:val="00BC2E26"/>
    <w:rsid w:val="00BD1053"/>
    <w:rsid w:val="00BD1FCC"/>
    <w:rsid w:val="00BD2B70"/>
    <w:rsid w:val="00BE1697"/>
    <w:rsid w:val="00BE1706"/>
    <w:rsid w:val="00BE70BC"/>
    <w:rsid w:val="00BF10E8"/>
    <w:rsid w:val="00BF13A3"/>
    <w:rsid w:val="00BF5ED2"/>
    <w:rsid w:val="00BF66F3"/>
    <w:rsid w:val="00C02C4B"/>
    <w:rsid w:val="00C07D63"/>
    <w:rsid w:val="00C16128"/>
    <w:rsid w:val="00C161C4"/>
    <w:rsid w:val="00C167B0"/>
    <w:rsid w:val="00C20464"/>
    <w:rsid w:val="00C20A4C"/>
    <w:rsid w:val="00C222C1"/>
    <w:rsid w:val="00C41ABA"/>
    <w:rsid w:val="00C502AB"/>
    <w:rsid w:val="00C524FF"/>
    <w:rsid w:val="00C56351"/>
    <w:rsid w:val="00C56F8F"/>
    <w:rsid w:val="00C66184"/>
    <w:rsid w:val="00C756B2"/>
    <w:rsid w:val="00C826F1"/>
    <w:rsid w:val="00C83A35"/>
    <w:rsid w:val="00C8409A"/>
    <w:rsid w:val="00C867DB"/>
    <w:rsid w:val="00C957BC"/>
    <w:rsid w:val="00C97ACB"/>
    <w:rsid w:val="00CA0005"/>
    <w:rsid w:val="00CA2E34"/>
    <w:rsid w:val="00CA745B"/>
    <w:rsid w:val="00CA7C18"/>
    <w:rsid w:val="00CB74BD"/>
    <w:rsid w:val="00CC03A9"/>
    <w:rsid w:val="00CC3D6E"/>
    <w:rsid w:val="00CC6827"/>
    <w:rsid w:val="00CD0AB5"/>
    <w:rsid w:val="00CD25B3"/>
    <w:rsid w:val="00CE12DF"/>
    <w:rsid w:val="00CF17D9"/>
    <w:rsid w:val="00CF1ACC"/>
    <w:rsid w:val="00D04380"/>
    <w:rsid w:val="00D04A74"/>
    <w:rsid w:val="00D04C8F"/>
    <w:rsid w:val="00D07474"/>
    <w:rsid w:val="00D12D7F"/>
    <w:rsid w:val="00D15D20"/>
    <w:rsid w:val="00D21F7E"/>
    <w:rsid w:val="00D229CA"/>
    <w:rsid w:val="00D230CC"/>
    <w:rsid w:val="00D35B87"/>
    <w:rsid w:val="00D4393E"/>
    <w:rsid w:val="00D45FF9"/>
    <w:rsid w:val="00D737FF"/>
    <w:rsid w:val="00D825E4"/>
    <w:rsid w:val="00D82676"/>
    <w:rsid w:val="00D85CF9"/>
    <w:rsid w:val="00D90F13"/>
    <w:rsid w:val="00DB3924"/>
    <w:rsid w:val="00DB577C"/>
    <w:rsid w:val="00DB68D0"/>
    <w:rsid w:val="00DC00CC"/>
    <w:rsid w:val="00DC0226"/>
    <w:rsid w:val="00DC1D8F"/>
    <w:rsid w:val="00DC296E"/>
    <w:rsid w:val="00DC3088"/>
    <w:rsid w:val="00DC333F"/>
    <w:rsid w:val="00DC4556"/>
    <w:rsid w:val="00DD1735"/>
    <w:rsid w:val="00DE158E"/>
    <w:rsid w:val="00DE294A"/>
    <w:rsid w:val="00DE2C4F"/>
    <w:rsid w:val="00DE590C"/>
    <w:rsid w:val="00DF00B3"/>
    <w:rsid w:val="00DF4B81"/>
    <w:rsid w:val="00DF5321"/>
    <w:rsid w:val="00E0399E"/>
    <w:rsid w:val="00E03CD8"/>
    <w:rsid w:val="00E1062A"/>
    <w:rsid w:val="00E12637"/>
    <w:rsid w:val="00E20F5B"/>
    <w:rsid w:val="00E2599A"/>
    <w:rsid w:val="00E267DF"/>
    <w:rsid w:val="00E3074F"/>
    <w:rsid w:val="00E31A14"/>
    <w:rsid w:val="00E352A9"/>
    <w:rsid w:val="00E35E90"/>
    <w:rsid w:val="00E361DF"/>
    <w:rsid w:val="00E3730D"/>
    <w:rsid w:val="00E37682"/>
    <w:rsid w:val="00E40D0F"/>
    <w:rsid w:val="00E4183F"/>
    <w:rsid w:val="00E4763C"/>
    <w:rsid w:val="00E564EC"/>
    <w:rsid w:val="00E57402"/>
    <w:rsid w:val="00E63CA3"/>
    <w:rsid w:val="00E673C5"/>
    <w:rsid w:val="00E742FF"/>
    <w:rsid w:val="00E744C0"/>
    <w:rsid w:val="00E75B32"/>
    <w:rsid w:val="00E804C8"/>
    <w:rsid w:val="00E823B5"/>
    <w:rsid w:val="00E84E05"/>
    <w:rsid w:val="00EA499E"/>
    <w:rsid w:val="00EA6AB5"/>
    <w:rsid w:val="00EB0D65"/>
    <w:rsid w:val="00EB4824"/>
    <w:rsid w:val="00EB5D1D"/>
    <w:rsid w:val="00EC0DB9"/>
    <w:rsid w:val="00ED6005"/>
    <w:rsid w:val="00EE0A22"/>
    <w:rsid w:val="00EE32BA"/>
    <w:rsid w:val="00EE7D1C"/>
    <w:rsid w:val="00EF4FDB"/>
    <w:rsid w:val="00EF72EA"/>
    <w:rsid w:val="00EF7DC0"/>
    <w:rsid w:val="00F010C8"/>
    <w:rsid w:val="00F03F7A"/>
    <w:rsid w:val="00F105A2"/>
    <w:rsid w:val="00F12396"/>
    <w:rsid w:val="00F1411D"/>
    <w:rsid w:val="00F342B3"/>
    <w:rsid w:val="00F409FA"/>
    <w:rsid w:val="00F532C9"/>
    <w:rsid w:val="00F639E4"/>
    <w:rsid w:val="00F66320"/>
    <w:rsid w:val="00F67FA0"/>
    <w:rsid w:val="00F718F1"/>
    <w:rsid w:val="00F71F14"/>
    <w:rsid w:val="00F76E6D"/>
    <w:rsid w:val="00F82C36"/>
    <w:rsid w:val="00F85228"/>
    <w:rsid w:val="00F96E30"/>
    <w:rsid w:val="00F97753"/>
    <w:rsid w:val="00FB33D4"/>
    <w:rsid w:val="00FB3BA6"/>
    <w:rsid w:val="00FB55C6"/>
    <w:rsid w:val="00FB5DD2"/>
    <w:rsid w:val="00FB5E92"/>
    <w:rsid w:val="00FC0FD3"/>
    <w:rsid w:val="00FC49A2"/>
    <w:rsid w:val="00FD3A29"/>
    <w:rsid w:val="00FD7C2B"/>
    <w:rsid w:val="00FE7FDB"/>
    <w:rsid w:val="00FF68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unhideWhenUsed="0"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0E1BA5"/>
    <w:pPr>
      <w:keepNext/>
      <w:jc w:val="left"/>
      <w:outlineLvl w:val="0"/>
    </w:pPr>
    <w:rPr>
      <w:rFonts w:eastAsia="Times New Roman"/>
      <w:szCs w:val="20"/>
      <w:lang w:eastAsia="pt-BR"/>
    </w:rPr>
  </w:style>
  <w:style w:type="paragraph" w:styleId="Ttulo1">
    <w:name w:val="heading 1"/>
    <w:basedOn w:val="Normal"/>
    <w:next w:val="Normal"/>
    <w:link w:val="Ttulo1Char"/>
    <w:uiPriority w:val="9"/>
    <w:semiHidden/>
    <w:qFormat/>
    <w:rsid w:val="00B33927"/>
    <w:pPr>
      <w:keepLines/>
      <w:numPr>
        <w:numId w:val="5"/>
      </w:numPr>
      <w:spacing w:before="48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qFormat/>
    <w:rsid w:val="00B33927"/>
    <w:pPr>
      <w:keepLines/>
      <w:numPr>
        <w:ilvl w:val="1"/>
        <w:numId w:val="5"/>
      </w:numPr>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rsid w:val="00B33927"/>
    <w:pPr>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rsid w:val="00B33927"/>
    <w:pPr>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B33927"/>
    <w:pPr>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B33927"/>
    <w:pPr>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B33927"/>
    <w:pPr>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33927"/>
    <w:pPr>
      <w:keepLines/>
      <w:numPr>
        <w:ilvl w:val="7"/>
        <w:numId w:val="5"/>
      </w:numPr>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uiPriority w:val="9"/>
    <w:semiHidden/>
    <w:unhideWhenUsed/>
    <w:qFormat/>
    <w:rsid w:val="00B33927"/>
    <w:pPr>
      <w:keepLines/>
      <w:numPr>
        <w:ilvl w:val="8"/>
        <w:numId w:val="5"/>
      </w:numPr>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3FBD"/>
    <w:pPr>
      <w:jc w:val="both"/>
    </w:pPr>
  </w:style>
  <w:style w:type="numbering" w:customStyle="1" w:styleId="Estilo1">
    <w:name w:val="Estilo1"/>
    <w:uiPriority w:val="99"/>
    <w:rsid w:val="00B33927"/>
    <w:pPr>
      <w:numPr>
        <w:numId w:val="1"/>
      </w:numPr>
    </w:pPr>
  </w:style>
  <w:style w:type="paragraph" w:styleId="Rodap">
    <w:name w:val="footer"/>
    <w:basedOn w:val="Normal"/>
    <w:link w:val="RodapChar"/>
    <w:uiPriority w:val="99"/>
    <w:semiHidden/>
    <w:unhideWhenUsed/>
    <w:rsid w:val="00B33927"/>
    <w:pPr>
      <w:tabs>
        <w:tab w:val="center" w:pos="4252"/>
        <w:tab w:val="right" w:pos="8504"/>
      </w:tabs>
    </w:pPr>
  </w:style>
  <w:style w:type="character" w:customStyle="1" w:styleId="RodapChar">
    <w:name w:val="Rodapé Char"/>
    <w:basedOn w:val="Fontepargpadro"/>
    <w:link w:val="Rodap"/>
    <w:uiPriority w:val="99"/>
    <w:semiHidden/>
    <w:rsid w:val="00B33927"/>
    <w:rPr>
      <w:rFonts w:eastAsia="Times New Roman"/>
      <w:szCs w:val="20"/>
      <w:lang w:eastAsia="pt-BR"/>
    </w:rPr>
  </w:style>
  <w:style w:type="character" w:customStyle="1" w:styleId="Ttulo1Char">
    <w:name w:val="Título 1 Char"/>
    <w:basedOn w:val="Fontepargpadro"/>
    <w:link w:val="Ttulo1"/>
    <w:uiPriority w:val="9"/>
    <w:semiHidden/>
    <w:rsid w:val="00B33927"/>
    <w:rPr>
      <w:rFonts w:asciiTheme="majorHAnsi" w:eastAsiaTheme="majorEastAsia" w:hAnsiTheme="majorHAnsi" w:cstheme="majorBidi"/>
      <w:b/>
      <w:bCs/>
      <w:color w:val="365F91" w:themeColor="accent1" w:themeShade="BF"/>
      <w:sz w:val="28"/>
      <w:szCs w:val="28"/>
      <w:lang w:eastAsia="pt-BR"/>
    </w:rPr>
  </w:style>
  <w:style w:type="paragraph" w:styleId="NormalWeb">
    <w:name w:val="Normal (Web)"/>
    <w:basedOn w:val="Normal"/>
    <w:uiPriority w:val="99"/>
    <w:semiHidden/>
    <w:rsid w:val="00B33927"/>
    <w:pPr>
      <w:spacing w:before="100" w:after="100"/>
    </w:pPr>
  </w:style>
  <w:style w:type="paragraph" w:customStyle="1" w:styleId="Prembulo">
    <w:name w:val="Preâmbulo"/>
    <w:basedOn w:val="Normal"/>
    <w:qFormat/>
    <w:rsid w:val="005C6BAB"/>
    <w:pPr>
      <w:widowControl w:val="0"/>
      <w:spacing w:before="60"/>
      <w:ind w:left="5103"/>
      <w:jc w:val="both"/>
    </w:pPr>
    <w:rPr>
      <w:b/>
      <w:snapToGrid w:val="0"/>
    </w:rPr>
  </w:style>
  <w:style w:type="numbering" w:customStyle="1" w:styleId="Estilo2">
    <w:name w:val="Estilo2"/>
    <w:uiPriority w:val="99"/>
    <w:rsid w:val="00B33927"/>
    <w:pPr>
      <w:numPr>
        <w:numId w:val="2"/>
      </w:numPr>
    </w:pPr>
  </w:style>
  <w:style w:type="numbering" w:customStyle="1" w:styleId="TCU">
    <w:name w:val="TCU"/>
    <w:uiPriority w:val="99"/>
    <w:rsid w:val="0001458F"/>
    <w:pPr>
      <w:numPr>
        <w:numId w:val="3"/>
      </w:numPr>
    </w:pPr>
  </w:style>
  <w:style w:type="paragraph" w:styleId="Recuodecorpodetexto">
    <w:name w:val="Body Text Indent"/>
    <w:basedOn w:val="Normal"/>
    <w:link w:val="RecuodecorpodetextoChar"/>
    <w:uiPriority w:val="99"/>
    <w:semiHidden/>
    <w:unhideWhenUsed/>
    <w:rsid w:val="00B33927"/>
    <w:pPr>
      <w:spacing w:after="120"/>
      <w:ind w:left="283"/>
    </w:pPr>
  </w:style>
  <w:style w:type="character" w:customStyle="1" w:styleId="RecuodecorpodetextoChar">
    <w:name w:val="Recuo de corpo de texto Char"/>
    <w:basedOn w:val="Fontepargpadro"/>
    <w:link w:val="Recuodecorpodetexto"/>
    <w:uiPriority w:val="99"/>
    <w:semiHidden/>
    <w:rsid w:val="00B33927"/>
    <w:rPr>
      <w:rFonts w:eastAsia="Times New Roman"/>
      <w:szCs w:val="20"/>
      <w:lang w:eastAsia="pt-BR"/>
    </w:rPr>
  </w:style>
  <w:style w:type="numbering" w:customStyle="1" w:styleId="1nvel">
    <w:name w:val="1º nível"/>
    <w:uiPriority w:val="99"/>
    <w:rsid w:val="00B33927"/>
    <w:pPr>
      <w:numPr>
        <w:numId w:val="4"/>
      </w:numPr>
    </w:pPr>
  </w:style>
  <w:style w:type="character" w:customStyle="1" w:styleId="Ttulo2Char">
    <w:name w:val="Título 2 Char"/>
    <w:basedOn w:val="Fontepargpadro"/>
    <w:link w:val="Ttulo2"/>
    <w:uiPriority w:val="9"/>
    <w:semiHidden/>
    <w:rsid w:val="00B33927"/>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B33927"/>
    <w:rPr>
      <w:rFonts w:asciiTheme="majorHAnsi" w:eastAsiaTheme="majorEastAsia" w:hAnsiTheme="majorHAnsi" w:cstheme="majorBidi"/>
      <w:b/>
      <w:bCs/>
      <w:color w:val="4F81BD" w:themeColor="accent1"/>
      <w:szCs w:val="20"/>
      <w:lang w:eastAsia="pt-BR"/>
    </w:rPr>
  </w:style>
  <w:style w:type="character" w:customStyle="1" w:styleId="Ttulo4Char">
    <w:name w:val="Título 4 Char"/>
    <w:basedOn w:val="Fontepargpadro"/>
    <w:link w:val="Ttulo4"/>
    <w:uiPriority w:val="9"/>
    <w:rsid w:val="00B33927"/>
    <w:rPr>
      <w:rFonts w:asciiTheme="majorHAnsi" w:eastAsiaTheme="majorEastAsia" w:hAnsiTheme="majorHAnsi" w:cstheme="majorBidi"/>
      <w:b/>
      <w:bCs/>
      <w:i/>
      <w:iCs/>
      <w:color w:val="4F81BD" w:themeColor="accent1"/>
      <w:szCs w:val="20"/>
      <w:lang w:eastAsia="pt-BR"/>
    </w:rPr>
  </w:style>
  <w:style w:type="character" w:customStyle="1" w:styleId="Ttulo5Char">
    <w:name w:val="Título 5 Char"/>
    <w:basedOn w:val="Fontepargpadro"/>
    <w:link w:val="Ttulo5"/>
    <w:uiPriority w:val="9"/>
    <w:semiHidden/>
    <w:rsid w:val="00B33927"/>
    <w:rPr>
      <w:rFonts w:asciiTheme="majorHAnsi" w:eastAsiaTheme="majorEastAsia" w:hAnsiTheme="majorHAnsi" w:cstheme="majorBidi"/>
      <w:color w:val="243F60" w:themeColor="accent1" w:themeShade="7F"/>
      <w:szCs w:val="20"/>
      <w:lang w:eastAsia="pt-BR"/>
    </w:rPr>
  </w:style>
  <w:style w:type="character" w:customStyle="1" w:styleId="Ttulo6Char">
    <w:name w:val="Título 6 Char"/>
    <w:basedOn w:val="Fontepargpadro"/>
    <w:link w:val="Ttulo6"/>
    <w:uiPriority w:val="9"/>
    <w:semiHidden/>
    <w:rsid w:val="00B33927"/>
    <w:rPr>
      <w:rFonts w:asciiTheme="majorHAnsi" w:eastAsiaTheme="majorEastAsia" w:hAnsiTheme="majorHAnsi" w:cstheme="majorBidi"/>
      <w:i/>
      <w:iCs/>
      <w:color w:val="243F60" w:themeColor="accent1" w:themeShade="7F"/>
      <w:szCs w:val="20"/>
      <w:lang w:eastAsia="pt-BR"/>
    </w:rPr>
  </w:style>
  <w:style w:type="character" w:customStyle="1" w:styleId="Ttulo7Char">
    <w:name w:val="Título 7 Char"/>
    <w:basedOn w:val="Fontepargpadro"/>
    <w:link w:val="Ttulo7"/>
    <w:uiPriority w:val="9"/>
    <w:semiHidden/>
    <w:rsid w:val="00B33927"/>
    <w:rPr>
      <w:rFonts w:asciiTheme="majorHAnsi" w:eastAsiaTheme="majorEastAsia" w:hAnsiTheme="majorHAnsi" w:cstheme="majorBidi"/>
      <w:i/>
      <w:iCs/>
      <w:color w:val="404040" w:themeColor="text1" w:themeTint="BF"/>
      <w:szCs w:val="20"/>
      <w:lang w:eastAsia="pt-BR"/>
    </w:rPr>
  </w:style>
  <w:style w:type="character" w:customStyle="1" w:styleId="Ttulo8Char">
    <w:name w:val="Título 8 Char"/>
    <w:basedOn w:val="Fontepargpadro"/>
    <w:link w:val="Ttulo8"/>
    <w:uiPriority w:val="9"/>
    <w:semiHidden/>
    <w:rsid w:val="00B33927"/>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33927"/>
    <w:rPr>
      <w:rFonts w:asciiTheme="majorHAnsi" w:eastAsiaTheme="majorEastAsia" w:hAnsiTheme="majorHAnsi" w:cstheme="majorBidi"/>
      <w:i/>
      <w:iCs/>
      <w:color w:val="404040" w:themeColor="text1" w:themeTint="BF"/>
      <w:sz w:val="20"/>
      <w:szCs w:val="20"/>
      <w:lang w:eastAsia="pt-BR"/>
    </w:rPr>
  </w:style>
  <w:style w:type="paragraph" w:customStyle="1" w:styleId="Transcrio">
    <w:name w:val="Transcrição"/>
    <w:basedOn w:val="Normal"/>
    <w:qFormat/>
    <w:rsid w:val="00F105A2"/>
    <w:pPr>
      <w:tabs>
        <w:tab w:val="left" w:pos="1134"/>
      </w:tabs>
      <w:ind w:left="1134"/>
      <w:jc w:val="both"/>
    </w:pPr>
    <w:rPr>
      <w:sz w:val="22"/>
      <w:szCs w:val="22"/>
    </w:rPr>
  </w:style>
  <w:style w:type="character" w:customStyle="1" w:styleId="Termoestrangeiro">
    <w:name w:val="Termo estrangeiro"/>
    <w:basedOn w:val="Fontepargpadro"/>
    <w:uiPriority w:val="1"/>
    <w:qFormat/>
    <w:rsid w:val="00B33927"/>
    <w:rPr>
      <w:rFonts w:ascii="Times New Roman" w:hAnsi="Times New Roman"/>
      <w:i/>
      <w:color w:val="auto"/>
      <w:sz w:val="24"/>
    </w:rPr>
  </w:style>
  <w:style w:type="character" w:customStyle="1" w:styleId="Textonormal">
    <w:name w:val="Texto normal"/>
    <w:basedOn w:val="Termoestrangeiro"/>
    <w:uiPriority w:val="1"/>
    <w:qFormat/>
    <w:rsid w:val="00B33927"/>
    <w:rPr>
      <w:i w:val="0"/>
    </w:rPr>
  </w:style>
  <w:style w:type="paragraph" w:styleId="Cabealho">
    <w:name w:val="header"/>
    <w:basedOn w:val="Normal"/>
    <w:link w:val="CabealhoChar"/>
    <w:uiPriority w:val="99"/>
    <w:semiHidden/>
    <w:unhideWhenUsed/>
    <w:rsid w:val="00B33927"/>
    <w:pPr>
      <w:tabs>
        <w:tab w:val="center" w:pos="4252"/>
        <w:tab w:val="right" w:pos="8504"/>
      </w:tabs>
      <w:spacing w:before="0"/>
    </w:pPr>
  </w:style>
  <w:style w:type="character" w:customStyle="1" w:styleId="CabealhoChar">
    <w:name w:val="Cabeçalho Char"/>
    <w:basedOn w:val="Fontepargpadro"/>
    <w:link w:val="Cabealho"/>
    <w:uiPriority w:val="99"/>
    <w:semiHidden/>
    <w:rsid w:val="00B33927"/>
    <w:rPr>
      <w:rFonts w:eastAsia="Times New Roman"/>
      <w:szCs w:val="20"/>
      <w:lang w:eastAsia="pt-BR"/>
    </w:rPr>
  </w:style>
  <w:style w:type="paragraph" w:customStyle="1" w:styleId="Ttulononumerado-1nvel">
    <w:name w:val="Título não numerado - 1º nível"/>
    <w:basedOn w:val="Normal"/>
    <w:qFormat/>
    <w:rsid w:val="0065265C"/>
    <w:pPr>
      <w:jc w:val="both"/>
    </w:pPr>
    <w:rPr>
      <w:b/>
      <w:caps/>
    </w:rPr>
  </w:style>
  <w:style w:type="paragraph" w:customStyle="1" w:styleId="Ttulononumerado-demaisnveis">
    <w:name w:val="Título não numerado - demais níveis"/>
    <w:basedOn w:val="Normal"/>
    <w:qFormat/>
    <w:rsid w:val="00176DD5"/>
    <w:rPr>
      <w:u w:val="single"/>
    </w:rPr>
  </w:style>
  <w:style w:type="paragraph" w:customStyle="1" w:styleId="Pargrafo-1nvel">
    <w:name w:val="Parágrafo - 1º nível"/>
    <w:basedOn w:val="PargrafodaLista"/>
    <w:qFormat/>
    <w:rsid w:val="00080B86"/>
    <w:pPr>
      <w:keepNext w:val="0"/>
      <w:numPr>
        <w:numId w:val="6"/>
      </w:numPr>
      <w:tabs>
        <w:tab w:val="left" w:pos="1134"/>
      </w:tabs>
    </w:pPr>
  </w:style>
  <w:style w:type="paragraph" w:customStyle="1" w:styleId="Ttulonumerado-1nvel">
    <w:name w:val="Título numerado - 1º nível"/>
    <w:basedOn w:val="PargrafodaLista"/>
    <w:qFormat/>
    <w:rsid w:val="00965A97"/>
    <w:pPr>
      <w:numPr>
        <w:numId w:val="7"/>
      </w:numPr>
      <w:tabs>
        <w:tab w:val="left" w:pos="1134"/>
      </w:tabs>
    </w:pPr>
    <w:rPr>
      <w:b/>
    </w:rPr>
  </w:style>
  <w:style w:type="paragraph" w:customStyle="1" w:styleId="Ttulonumerado-2nvel">
    <w:name w:val="Título numerado - 2º nível"/>
    <w:basedOn w:val="PargrafodaLista"/>
    <w:qFormat/>
    <w:rsid w:val="00B23FBD"/>
    <w:pPr>
      <w:numPr>
        <w:ilvl w:val="1"/>
        <w:numId w:val="7"/>
      </w:numPr>
      <w:tabs>
        <w:tab w:val="left" w:pos="1134"/>
      </w:tabs>
    </w:pPr>
    <w:rPr>
      <w:u w:val="single"/>
    </w:rPr>
  </w:style>
  <w:style w:type="paragraph" w:customStyle="1" w:styleId="Ttulonumerado-3nvel">
    <w:name w:val="Título numerado - 3º nível"/>
    <w:basedOn w:val="PargrafodaLista"/>
    <w:qFormat/>
    <w:rsid w:val="00B23FBD"/>
    <w:pPr>
      <w:numPr>
        <w:ilvl w:val="2"/>
        <w:numId w:val="7"/>
      </w:numPr>
      <w:tabs>
        <w:tab w:val="left" w:pos="1134"/>
      </w:tabs>
      <w:ind w:left="0" w:firstLine="0"/>
    </w:pPr>
    <w:rPr>
      <w:u w:val="single"/>
    </w:rPr>
  </w:style>
  <w:style w:type="paragraph" w:customStyle="1" w:styleId="Ttulonumerado-4nvel">
    <w:name w:val="Título numerado - 4º nível"/>
    <w:basedOn w:val="PargrafodaLista"/>
    <w:qFormat/>
    <w:rsid w:val="00B23FBD"/>
    <w:pPr>
      <w:numPr>
        <w:ilvl w:val="3"/>
        <w:numId w:val="7"/>
      </w:numPr>
      <w:tabs>
        <w:tab w:val="left" w:pos="1134"/>
      </w:tabs>
      <w:ind w:left="0" w:firstLine="0"/>
    </w:pPr>
    <w:rPr>
      <w:u w:val="single"/>
    </w:rPr>
  </w:style>
  <w:style w:type="paragraph" w:customStyle="1" w:styleId="Fecho">
    <w:name w:val="Fecho"/>
    <w:basedOn w:val="Normal"/>
    <w:qFormat/>
    <w:rsid w:val="00981BA5"/>
    <w:pPr>
      <w:spacing w:before="0"/>
      <w:ind w:left="5103"/>
      <w:jc w:val="center"/>
    </w:pPr>
  </w:style>
  <w:style w:type="paragraph" w:customStyle="1" w:styleId="Pargrafo-2nvel">
    <w:name w:val="Parágrafo - 2º nível"/>
    <w:basedOn w:val="Normal"/>
    <w:qFormat/>
    <w:rsid w:val="00080B86"/>
    <w:pPr>
      <w:keepNext w:val="0"/>
      <w:numPr>
        <w:ilvl w:val="1"/>
        <w:numId w:val="6"/>
      </w:numPr>
      <w:tabs>
        <w:tab w:val="left" w:pos="1134"/>
      </w:tabs>
      <w:jc w:val="both"/>
    </w:pPr>
  </w:style>
  <w:style w:type="paragraph" w:customStyle="1" w:styleId="Pargrafo-3nvel">
    <w:name w:val="Parágrafo - 3º nível"/>
    <w:basedOn w:val="Normal"/>
    <w:qFormat/>
    <w:rsid w:val="00080B86"/>
    <w:pPr>
      <w:keepNext w:val="0"/>
      <w:numPr>
        <w:ilvl w:val="2"/>
        <w:numId w:val="6"/>
      </w:numPr>
      <w:tabs>
        <w:tab w:val="left" w:pos="1134"/>
      </w:tabs>
      <w:jc w:val="both"/>
    </w:pPr>
  </w:style>
  <w:style w:type="character" w:styleId="Hyperlink">
    <w:name w:val="Hyperlink"/>
    <w:basedOn w:val="Fontepargpadro"/>
    <w:uiPriority w:val="99"/>
    <w:unhideWhenUsed/>
    <w:rsid w:val="00696804"/>
    <w:rPr>
      <w:color w:val="0000FF" w:themeColor="hyperlink"/>
      <w:u w:val="single"/>
    </w:rPr>
  </w:style>
  <w:style w:type="paragraph" w:customStyle="1" w:styleId="ListadeInformaes">
    <w:name w:val="Lista de Informações"/>
    <w:qFormat/>
    <w:rsid w:val="001F30C5"/>
    <w:pPr>
      <w:widowControl w:val="0"/>
      <w:numPr>
        <w:numId w:val="8"/>
      </w:numPr>
      <w:suppressAutoHyphens/>
      <w:spacing w:before="60"/>
    </w:pPr>
    <w:rPr>
      <w:rFonts w:eastAsia="Times New Roman"/>
      <w:szCs w:val="20"/>
      <w:lang w:eastAsia="pt-BR"/>
    </w:rPr>
  </w:style>
  <w:style w:type="paragraph" w:customStyle="1" w:styleId="Default">
    <w:name w:val="Default"/>
    <w:rsid w:val="003F5354"/>
    <w:pPr>
      <w:autoSpaceDE w:val="0"/>
      <w:autoSpaceDN w:val="0"/>
      <w:adjustRightInd w:val="0"/>
      <w:spacing w:before="0"/>
      <w:jc w:val="left"/>
    </w:pPr>
    <w:rPr>
      <w:color w:val="000000"/>
    </w:rPr>
  </w:style>
  <w:style w:type="paragraph" w:styleId="Textodebalo">
    <w:name w:val="Balloon Text"/>
    <w:basedOn w:val="Normal"/>
    <w:link w:val="TextodebaloChar"/>
    <w:uiPriority w:val="99"/>
    <w:semiHidden/>
    <w:unhideWhenUsed/>
    <w:rsid w:val="00B879AA"/>
    <w:pPr>
      <w:spacing w:before="0"/>
    </w:pPr>
    <w:rPr>
      <w:rFonts w:ascii="Tahoma" w:hAnsi="Tahoma" w:cs="Tahoma"/>
      <w:sz w:val="16"/>
      <w:szCs w:val="16"/>
    </w:rPr>
  </w:style>
  <w:style w:type="character" w:customStyle="1" w:styleId="TextodebaloChar">
    <w:name w:val="Texto de balão Char"/>
    <w:basedOn w:val="Fontepargpadro"/>
    <w:link w:val="Textodebalo"/>
    <w:uiPriority w:val="99"/>
    <w:semiHidden/>
    <w:rsid w:val="00B879AA"/>
    <w:rPr>
      <w:rFonts w:ascii="Tahoma" w:eastAsia="Times New Roman" w:hAnsi="Tahoma" w:cs="Tahoma"/>
      <w:sz w:val="16"/>
      <w:szCs w:val="16"/>
      <w:lang w:eastAsia="pt-BR"/>
    </w:rPr>
  </w:style>
  <w:style w:type="character" w:styleId="Refdecomentrio">
    <w:name w:val="annotation reference"/>
    <w:basedOn w:val="Fontepargpadro"/>
    <w:uiPriority w:val="99"/>
    <w:semiHidden/>
    <w:unhideWhenUsed/>
    <w:rsid w:val="00A72E13"/>
    <w:rPr>
      <w:sz w:val="16"/>
      <w:szCs w:val="16"/>
    </w:rPr>
  </w:style>
  <w:style w:type="paragraph" w:styleId="Textodecomentrio">
    <w:name w:val="annotation text"/>
    <w:basedOn w:val="Normal"/>
    <w:link w:val="TextodecomentrioChar"/>
    <w:uiPriority w:val="99"/>
    <w:semiHidden/>
    <w:unhideWhenUsed/>
    <w:rsid w:val="00A72E13"/>
    <w:rPr>
      <w:sz w:val="20"/>
    </w:rPr>
  </w:style>
  <w:style w:type="character" w:customStyle="1" w:styleId="TextodecomentrioChar">
    <w:name w:val="Texto de comentário Char"/>
    <w:basedOn w:val="Fontepargpadro"/>
    <w:link w:val="Textodecomentrio"/>
    <w:uiPriority w:val="99"/>
    <w:semiHidden/>
    <w:rsid w:val="00A72E13"/>
    <w:rPr>
      <w:rFonts w:eastAsia="Times New Roman"/>
      <w:sz w:val="20"/>
      <w:szCs w:val="20"/>
      <w:lang w:eastAsia="pt-BR"/>
    </w:rPr>
  </w:style>
</w:styles>
</file>

<file path=word/webSettings.xml><?xml version="1.0" encoding="utf-8"?>
<w:webSettings xmlns:r="http://schemas.openxmlformats.org/officeDocument/2006/relationships" xmlns:w="http://schemas.openxmlformats.org/wordprocessingml/2006/main">
  <w:divs>
    <w:div w:id="614870468">
      <w:bodyDiv w:val="1"/>
      <w:marLeft w:val="0"/>
      <w:marRight w:val="0"/>
      <w:marTop w:val="0"/>
      <w:marBottom w:val="0"/>
      <w:divBdr>
        <w:top w:val="none" w:sz="0" w:space="0" w:color="auto"/>
        <w:left w:val="none" w:sz="0" w:space="0" w:color="auto"/>
        <w:bottom w:val="none" w:sz="0" w:space="0" w:color="auto"/>
        <w:right w:val="none" w:sz="0" w:space="0" w:color="auto"/>
      </w:divBdr>
    </w:div>
    <w:div w:id="775053429">
      <w:bodyDiv w:val="1"/>
      <w:marLeft w:val="0"/>
      <w:marRight w:val="0"/>
      <w:marTop w:val="0"/>
      <w:marBottom w:val="0"/>
      <w:divBdr>
        <w:top w:val="none" w:sz="0" w:space="0" w:color="auto"/>
        <w:left w:val="none" w:sz="0" w:space="0" w:color="auto"/>
        <w:bottom w:val="none" w:sz="0" w:space="0" w:color="auto"/>
        <w:right w:val="none" w:sz="0" w:space="0" w:color="auto"/>
      </w:divBdr>
    </w:div>
    <w:div w:id="1281573877">
      <w:bodyDiv w:val="1"/>
      <w:marLeft w:val="0"/>
      <w:marRight w:val="0"/>
      <w:marTop w:val="0"/>
      <w:marBottom w:val="0"/>
      <w:divBdr>
        <w:top w:val="none" w:sz="0" w:space="0" w:color="auto"/>
        <w:left w:val="none" w:sz="0" w:space="0" w:color="auto"/>
        <w:bottom w:val="none" w:sz="0" w:space="0" w:color="auto"/>
        <w:right w:val="none" w:sz="0" w:space="0" w:color="auto"/>
      </w:divBdr>
    </w:div>
    <w:div w:id="1384719002">
      <w:bodyDiv w:val="1"/>
      <w:marLeft w:val="0"/>
      <w:marRight w:val="0"/>
      <w:marTop w:val="0"/>
      <w:marBottom w:val="0"/>
      <w:divBdr>
        <w:top w:val="none" w:sz="0" w:space="0" w:color="auto"/>
        <w:left w:val="none" w:sz="0" w:space="0" w:color="auto"/>
        <w:bottom w:val="none" w:sz="0" w:space="0" w:color="auto"/>
        <w:right w:val="none" w:sz="0" w:space="0" w:color="auto"/>
      </w:divBdr>
    </w:div>
    <w:div w:id="1512912456">
      <w:bodyDiv w:val="1"/>
      <w:marLeft w:val="0"/>
      <w:marRight w:val="0"/>
      <w:marTop w:val="0"/>
      <w:marBottom w:val="0"/>
      <w:divBdr>
        <w:top w:val="none" w:sz="0" w:space="0" w:color="auto"/>
        <w:left w:val="none" w:sz="0" w:space="0" w:color="auto"/>
        <w:bottom w:val="none" w:sz="0" w:space="0" w:color="auto"/>
        <w:right w:val="none" w:sz="0" w:space="0" w:color="auto"/>
      </w:divBdr>
    </w:div>
    <w:div w:id="152181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Planilha_do_Microsoft_Office_Excel1.xls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package" Target="embeddings/Planilha_do_Microsoft_Office_Excel2.xlsx"/><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14</Pages>
  <Words>6977</Words>
  <Characters>37677</Characters>
  <Application>Microsoft Office Word</Application>
  <DocSecurity>0</DocSecurity>
  <Lines>313</Lines>
  <Paragraphs>89</Paragraphs>
  <ScaleCrop>false</ScaleCrop>
  <HeadingPairs>
    <vt:vector size="2" baseType="variant">
      <vt:variant>
        <vt:lpstr>Título</vt:lpstr>
      </vt:variant>
      <vt:variant>
        <vt:i4>1</vt:i4>
      </vt:variant>
    </vt:vector>
  </HeadingPairs>
  <TitlesOfParts>
    <vt:vector size="1" baseType="lpstr">
      <vt:lpstr/>
    </vt:vector>
  </TitlesOfParts>
  <Company>TCU</Company>
  <LinksUpToDate>false</LinksUpToDate>
  <CharactersWithSpaces>44565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mauriciorj</dc:creator>
  <cp:lastModifiedBy>mauriciorj</cp:lastModifiedBy>
  <cp:revision>36</cp:revision>
  <cp:lastPrinted>2012-05-10T13:16:00Z</cp:lastPrinted>
  <dcterms:created xsi:type="dcterms:W3CDTF">2012-05-11T19:10:00Z</dcterms:created>
  <dcterms:modified xsi:type="dcterms:W3CDTF">2012-05-14T12:37:00Z</dcterms:modified>
</cp:coreProperties>
</file>