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959" w:rsidRDefault="00B47959" w:rsidP="00B47959">
      <w:pPr>
        <w:pStyle w:val="Prembulo"/>
      </w:pPr>
      <w:r w:rsidRPr="00936F79">
        <w:t xml:space="preserve">TC </w:t>
      </w:r>
      <w:r w:rsidR="00977771">
        <w:t>016.905/2002-3</w:t>
      </w:r>
    </w:p>
    <w:p w:rsidR="00B47959" w:rsidRPr="00521B5D" w:rsidRDefault="00B47959" w:rsidP="00B47959">
      <w:pPr>
        <w:pStyle w:val="Prembulo"/>
        <w:rPr>
          <w:b w:val="0"/>
        </w:rPr>
      </w:pPr>
      <w:r>
        <w:t xml:space="preserve">Tipo: </w:t>
      </w:r>
      <w:r w:rsidR="00977771">
        <w:rPr>
          <w:b w:val="0"/>
        </w:rPr>
        <w:t>Tomada de Contas Especial (recurso de reconsideração)</w:t>
      </w:r>
      <w:r w:rsidR="0010438B">
        <w:rPr>
          <w:b w:val="0"/>
        </w:rPr>
        <w:t>.</w:t>
      </w:r>
    </w:p>
    <w:p w:rsidR="00B47959" w:rsidRPr="009F3040" w:rsidRDefault="00B47959" w:rsidP="00B47959">
      <w:pPr>
        <w:pStyle w:val="Prembulo"/>
        <w:rPr>
          <w:b w:val="0"/>
        </w:rPr>
      </w:pPr>
      <w:r w:rsidRPr="001835AF">
        <w:t>Unidade Jurisdicionada:</w:t>
      </w:r>
      <w:r>
        <w:t xml:space="preserve"> </w:t>
      </w:r>
      <w:r w:rsidR="002C2937">
        <w:rPr>
          <w:b w:val="0"/>
        </w:rPr>
        <w:t xml:space="preserve">Companhia Docas do Rio Grande do Norte </w:t>
      </w:r>
      <w:r w:rsidR="00D91206">
        <w:rPr>
          <w:b w:val="0"/>
        </w:rPr>
        <w:t>–</w:t>
      </w:r>
      <w:r w:rsidR="002C2937">
        <w:rPr>
          <w:b w:val="0"/>
        </w:rPr>
        <w:t xml:space="preserve"> C</w:t>
      </w:r>
      <w:r w:rsidR="0006053D">
        <w:rPr>
          <w:b w:val="0"/>
        </w:rPr>
        <w:t>odern</w:t>
      </w:r>
      <w:r w:rsidR="00977771">
        <w:rPr>
          <w:b w:val="0"/>
        </w:rPr>
        <w:t xml:space="preserve"> – MT</w:t>
      </w:r>
      <w:r w:rsidR="0010438B">
        <w:rPr>
          <w:b w:val="0"/>
        </w:rPr>
        <w:t>.</w:t>
      </w:r>
    </w:p>
    <w:p w:rsidR="002C2937" w:rsidRDefault="002C2937" w:rsidP="00977771">
      <w:pPr>
        <w:pStyle w:val="Prembulo"/>
        <w:rPr>
          <w:b w:val="0"/>
        </w:rPr>
      </w:pPr>
      <w:r>
        <w:t>R</w:t>
      </w:r>
      <w:r w:rsidR="00977771">
        <w:t>ecorrentes</w:t>
      </w:r>
      <w:r w:rsidR="00E14DC1">
        <w:t>:</w:t>
      </w:r>
      <w:r w:rsidR="00977771" w:rsidRPr="00977771">
        <w:rPr>
          <w:b w:val="0"/>
        </w:rPr>
        <w:t xml:space="preserve"> Emerson Fernandes Daniel Júnior (CPF 074.212.814-87), Rubens de Siqueira Júnior (CPF</w:t>
      </w:r>
      <w:r w:rsidR="00977771">
        <w:rPr>
          <w:b w:val="0"/>
        </w:rPr>
        <w:t> </w:t>
      </w:r>
      <w:r w:rsidR="001740A2">
        <w:rPr>
          <w:b w:val="0"/>
        </w:rPr>
        <w:t xml:space="preserve">241.509.167-72), José </w:t>
      </w:r>
      <w:r w:rsidR="00977771" w:rsidRPr="00977771">
        <w:rPr>
          <w:b w:val="0"/>
        </w:rPr>
        <w:t>Jackson Queiroga de Morais (CPF</w:t>
      </w:r>
      <w:r w:rsidR="001740A2">
        <w:rPr>
          <w:b w:val="0"/>
        </w:rPr>
        <w:t> </w:t>
      </w:r>
      <w:r w:rsidR="00977771" w:rsidRPr="00977771">
        <w:rPr>
          <w:b w:val="0"/>
        </w:rPr>
        <w:t>088.769.084-04)</w:t>
      </w:r>
      <w:r w:rsidR="001740A2">
        <w:rPr>
          <w:b w:val="0"/>
        </w:rPr>
        <w:t xml:space="preserve"> e </w:t>
      </w:r>
      <w:r w:rsidR="001740A2" w:rsidRPr="001740A2">
        <w:rPr>
          <w:b w:val="0"/>
        </w:rPr>
        <w:t>Construtora OAS Ltda. (CNPJ </w:t>
      </w:r>
      <w:r w:rsidR="001740A2">
        <w:rPr>
          <w:b w:val="0"/>
        </w:rPr>
        <w:t>14.310.577/0001-04)</w:t>
      </w:r>
      <w:r w:rsidR="00977771" w:rsidRPr="00977771">
        <w:rPr>
          <w:b w:val="0"/>
        </w:rPr>
        <w:t>.</w:t>
      </w:r>
    </w:p>
    <w:p w:rsidR="004A494A" w:rsidRDefault="005003BF" w:rsidP="004A494A">
      <w:pPr>
        <w:pStyle w:val="Prembulo"/>
        <w:rPr>
          <w:b w:val="0"/>
        </w:rPr>
      </w:pPr>
      <w:r>
        <w:t xml:space="preserve">Advogado: </w:t>
      </w:r>
      <w:r w:rsidR="004A494A">
        <w:rPr>
          <w:b w:val="0"/>
        </w:rPr>
        <w:t>Fabrício de Castro Oliveira (OAB/BA 15.055</w:t>
      </w:r>
      <w:r w:rsidR="004A494A" w:rsidRPr="00977771">
        <w:rPr>
          <w:b w:val="0"/>
        </w:rPr>
        <w:t>).</w:t>
      </w:r>
    </w:p>
    <w:p w:rsidR="004A494A" w:rsidRPr="004A494A" w:rsidRDefault="004A494A" w:rsidP="004A494A">
      <w:pPr>
        <w:pStyle w:val="Prembulo"/>
        <w:rPr>
          <w:b w:val="0"/>
        </w:rPr>
      </w:pPr>
      <w:r>
        <w:t>Decisão recorrida:</w:t>
      </w:r>
      <w:r>
        <w:rPr>
          <w:b w:val="0"/>
        </w:rPr>
        <w:t xml:space="preserve"> Acórdão 538/2008-TCU-Plenário</w:t>
      </w:r>
      <w:r w:rsidR="005A25F3">
        <w:rPr>
          <w:b w:val="0"/>
        </w:rPr>
        <w:t>, confirmado pelo Acórdão 694/2008-TCU-Plenário.</w:t>
      </w:r>
    </w:p>
    <w:p w:rsidR="00B47959" w:rsidRDefault="004A494A" w:rsidP="004A494A">
      <w:pPr>
        <w:pStyle w:val="Prembulo"/>
      </w:pPr>
      <w:r>
        <w:t>Sumário</w:t>
      </w:r>
      <w:r w:rsidR="00D26D4A" w:rsidRPr="00AE0B95">
        <w:t xml:space="preserve">: </w:t>
      </w:r>
      <w:r w:rsidRPr="004A494A">
        <w:rPr>
          <w:b w:val="0"/>
        </w:rPr>
        <w:t>Recurso</w:t>
      </w:r>
      <w:r w:rsidR="00E10469">
        <w:rPr>
          <w:b w:val="0"/>
        </w:rPr>
        <w:t>s</w:t>
      </w:r>
      <w:r w:rsidRPr="004A494A">
        <w:rPr>
          <w:b w:val="0"/>
        </w:rPr>
        <w:t xml:space="preserve"> de Reconsideração. Obras de ampliação do Cais do Porto de Natal – RN. Irregularidades no Contrato 6/99. Apresentação de argumentos </w:t>
      </w:r>
      <w:r w:rsidR="001740A2">
        <w:rPr>
          <w:b w:val="0"/>
        </w:rPr>
        <w:t>pelos recorrentes</w:t>
      </w:r>
      <w:r w:rsidRPr="004A494A">
        <w:rPr>
          <w:b w:val="0"/>
        </w:rPr>
        <w:t>. Apresentação de memoria</w:t>
      </w:r>
      <w:r w:rsidR="006C650F">
        <w:rPr>
          <w:b w:val="0"/>
        </w:rPr>
        <w:t>is</w:t>
      </w:r>
      <w:r w:rsidRPr="004A494A">
        <w:rPr>
          <w:b w:val="0"/>
        </w:rPr>
        <w:t xml:space="preserve">. </w:t>
      </w:r>
      <w:r w:rsidR="005A25F3">
        <w:rPr>
          <w:b w:val="0"/>
        </w:rPr>
        <w:t>Análise das questões de engenharia discutidas no</w:t>
      </w:r>
      <w:r w:rsidR="00E10469">
        <w:rPr>
          <w:b w:val="0"/>
        </w:rPr>
        <w:t>s</w:t>
      </w:r>
      <w:r w:rsidR="005A25F3">
        <w:rPr>
          <w:b w:val="0"/>
        </w:rPr>
        <w:t xml:space="preserve"> </w:t>
      </w:r>
      <w:r w:rsidR="006C650F">
        <w:rPr>
          <w:b w:val="0"/>
        </w:rPr>
        <w:t>documentos apresentados</w:t>
      </w:r>
      <w:r w:rsidR="005A25F3">
        <w:rPr>
          <w:b w:val="0"/>
        </w:rPr>
        <w:t>.</w:t>
      </w:r>
    </w:p>
    <w:p w:rsidR="00B47959" w:rsidRPr="0065265C" w:rsidRDefault="00B47959" w:rsidP="0065265C">
      <w:pPr>
        <w:pStyle w:val="Prembulo"/>
      </w:pPr>
    </w:p>
    <w:p w:rsidR="007C5031" w:rsidRDefault="00965A97" w:rsidP="00974808">
      <w:pPr>
        <w:pStyle w:val="Ttulononumerado-1nvel"/>
      </w:pPr>
      <w:r>
        <w:t>Introdução</w:t>
      </w:r>
    </w:p>
    <w:p w:rsidR="00157EE2" w:rsidRDefault="00157EE2" w:rsidP="007C5031">
      <w:pPr>
        <w:pStyle w:val="Pargrafo-1nvel"/>
      </w:pPr>
      <w:r>
        <w:t xml:space="preserve">Trata-se de análise realizada </w:t>
      </w:r>
      <w:r w:rsidR="00671186">
        <w:t xml:space="preserve">nos autos do TC </w:t>
      </w:r>
      <w:r w:rsidR="001740A2">
        <w:t>016.905/2002-3</w:t>
      </w:r>
      <w:r w:rsidR="00E87230">
        <w:t xml:space="preserve"> (</w:t>
      </w:r>
      <w:r w:rsidR="001740A2">
        <w:t>Tomada de Contas Especial</w:t>
      </w:r>
      <w:r w:rsidR="00E87230">
        <w:t xml:space="preserve"> da </w:t>
      </w:r>
      <w:r w:rsidR="002A78EC" w:rsidRPr="00E862CE">
        <w:rPr>
          <w:szCs w:val="24"/>
        </w:rPr>
        <w:t>Companhia Docas do Rio Grande do Norte – Codern</w:t>
      </w:r>
      <w:r w:rsidR="002F51CF">
        <w:t>),</w:t>
      </w:r>
      <w:r w:rsidR="00D91206">
        <w:t xml:space="preserve"> </w:t>
      </w:r>
      <w:r w:rsidR="00671186">
        <w:t xml:space="preserve">que </w:t>
      </w:r>
      <w:r w:rsidR="001740A2">
        <w:t>constatou irregularidades no Contrato 6/99</w:t>
      </w:r>
      <w:r w:rsidR="00671186">
        <w:t xml:space="preserve">, </w:t>
      </w:r>
      <w:r w:rsidR="002F51CF">
        <w:t xml:space="preserve">consolidadas no Acórdão 538/2008-TCU-Plenário. </w:t>
      </w:r>
    </w:p>
    <w:p w:rsidR="00625242" w:rsidRDefault="00671186" w:rsidP="00E14DC1">
      <w:pPr>
        <w:pStyle w:val="Pargrafo-1nvel"/>
      </w:pPr>
      <w:r>
        <w:t xml:space="preserve">Em função de existirem </w:t>
      </w:r>
      <w:r w:rsidR="002F51CF">
        <w:t>questões específicas de engenharia nos recursos de reconsideração interpostos</w:t>
      </w:r>
      <w:r w:rsidR="00247D2E">
        <w:t xml:space="preserve">, o </w:t>
      </w:r>
      <w:r w:rsidR="00247D2E" w:rsidRPr="00247D2E">
        <w:t xml:space="preserve">Exmo. Min. </w:t>
      </w:r>
      <w:r w:rsidR="00247D2E">
        <w:t xml:space="preserve">Relator </w:t>
      </w:r>
      <w:r w:rsidR="00247D2E" w:rsidRPr="00247D2E">
        <w:t>Valmir Campelo</w:t>
      </w:r>
      <w:r w:rsidR="00247D2E">
        <w:t xml:space="preserve">, em despacho proferido em 28/4/2011 </w:t>
      </w:r>
      <w:r w:rsidR="00247D2E" w:rsidRPr="00247D2E">
        <w:t xml:space="preserve">(Anexo </w:t>
      </w:r>
      <w:r w:rsidR="00BC6045">
        <w:t>IV</w:t>
      </w:r>
      <w:r w:rsidR="00247D2E" w:rsidRPr="00247D2E">
        <w:t>, fl. 99)</w:t>
      </w:r>
      <w:r w:rsidR="00247D2E">
        <w:t xml:space="preserve">, </w:t>
      </w:r>
      <w:r>
        <w:t xml:space="preserve">determinou à </w:t>
      </w:r>
      <w:r w:rsidR="004A32E2">
        <w:t>4ª Secretaria de Fiscalização de Obras</w:t>
      </w:r>
      <w:r>
        <w:t xml:space="preserve"> – unidade técnica especializada em obras </w:t>
      </w:r>
      <w:r w:rsidR="00981A00">
        <w:t>portuárias</w:t>
      </w:r>
      <w:r>
        <w:t xml:space="preserve"> – que efetuasse </w:t>
      </w:r>
      <w:r w:rsidR="00247D2E">
        <w:t>o exame</w:t>
      </w:r>
      <w:r>
        <w:t xml:space="preserve"> do caso concreto.</w:t>
      </w:r>
    </w:p>
    <w:p w:rsidR="00E862CE" w:rsidRDefault="00965A97" w:rsidP="00974808">
      <w:pPr>
        <w:pStyle w:val="Ttulononumerado-1nvel"/>
      </w:pPr>
      <w:r>
        <w:t>Histórico</w:t>
      </w:r>
      <w:r w:rsidR="00DB44AA">
        <w:t xml:space="preserve"> </w:t>
      </w:r>
    </w:p>
    <w:p w:rsidR="00AB6A8B" w:rsidRDefault="00AB6A8B" w:rsidP="00E862CE">
      <w:pPr>
        <w:pStyle w:val="Pargrafo-1nvel"/>
        <w:rPr>
          <w:szCs w:val="24"/>
        </w:rPr>
      </w:pPr>
      <w:r>
        <w:rPr>
          <w:szCs w:val="24"/>
        </w:rPr>
        <w:t xml:space="preserve">Tratam os autos originalmente de </w:t>
      </w:r>
      <w:r w:rsidR="009E3A4F">
        <w:rPr>
          <w:szCs w:val="24"/>
        </w:rPr>
        <w:t>r</w:t>
      </w:r>
      <w:r>
        <w:rPr>
          <w:szCs w:val="24"/>
        </w:rPr>
        <w:t>elat</w:t>
      </w:r>
      <w:r w:rsidR="009E3A4F">
        <w:rPr>
          <w:szCs w:val="24"/>
        </w:rPr>
        <w:t>ório de a</w:t>
      </w:r>
      <w:r>
        <w:rPr>
          <w:szCs w:val="24"/>
        </w:rPr>
        <w:t xml:space="preserve">uditoria </w:t>
      </w:r>
      <w:r w:rsidR="00FA2017">
        <w:rPr>
          <w:szCs w:val="24"/>
        </w:rPr>
        <w:t xml:space="preserve">(Vol. Principal, fls. 1-21), </w:t>
      </w:r>
      <w:r>
        <w:rPr>
          <w:szCs w:val="24"/>
        </w:rPr>
        <w:t>realizada nas obras de ampliação do Cais do Porto de Natal/RN</w:t>
      </w:r>
      <w:r w:rsidR="009E3A4F">
        <w:rPr>
          <w:szCs w:val="24"/>
        </w:rPr>
        <w:t>, posteriormente convertido em t</w:t>
      </w:r>
      <w:r>
        <w:rPr>
          <w:szCs w:val="24"/>
        </w:rPr>
        <w:t xml:space="preserve">omada </w:t>
      </w:r>
      <w:r w:rsidR="009E3A4F">
        <w:rPr>
          <w:szCs w:val="24"/>
        </w:rPr>
        <w:t>de contas especial, pelo Acórdão 1.742/2003-TCU-Plenário.</w:t>
      </w:r>
    </w:p>
    <w:p w:rsidR="009E3A4F" w:rsidRDefault="00FA2017" w:rsidP="00E862CE">
      <w:pPr>
        <w:pStyle w:val="Pargrafo-1nvel"/>
        <w:rPr>
          <w:szCs w:val="24"/>
        </w:rPr>
      </w:pPr>
      <w:r>
        <w:rPr>
          <w:szCs w:val="24"/>
        </w:rPr>
        <w:t xml:space="preserve">Após a análise das alegações de defesa apresentadas pelos responsáveis (Vol. Principal, fls. 141-173), a Secex/RN apontou três irregularidades no contrato em tela: </w:t>
      </w:r>
      <w:r w:rsidRPr="00FA2017">
        <w:rPr>
          <w:szCs w:val="24"/>
        </w:rPr>
        <w:t>acréscimo indevido ao BDI da majoração da Cofins e CPMF</w:t>
      </w:r>
      <w:r>
        <w:rPr>
          <w:szCs w:val="24"/>
        </w:rPr>
        <w:t>, cobrança em duplicidade dos serviços de topografia</w:t>
      </w:r>
      <w:r w:rsidRPr="00FA2017">
        <w:rPr>
          <w:szCs w:val="24"/>
        </w:rPr>
        <w:t xml:space="preserve"> na execução do contrato e alteração indevida de índices de reajustamento de preços</w:t>
      </w:r>
      <w:r>
        <w:rPr>
          <w:szCs w:val="24"/>
        </w:rPr>
        <w:t>.</w:t>
      </w:r>
    </w:p>
    <w:p w:rsidR="00FA2017" w:rsidRDefault="00FA2017" w:rsidP="00E862CE">
      <w:pPr>
        <w:pStyle w:val="Pargrafo-1nvel"/>
        <w:rPr>
          <w:szCs w:val="24"/>
        </w:rPr>
      </w:pPr>
      <w:r>
        <w:rPr>
          <w:szCs w:val="24"/>
        </w:rPr>
        <w:t xml:space="preserve">O Exmo. Procurador Sérgio Ricardo Costa Caribé propôs, em seu parecer </w:t>
      </w:r>
      <w:r w:rsidR="00646E45">
        <w:rPr>
          <w:szCs w:val="24"/>
        </w:rPr>
        <w:t xml:space="preserve">de 20/6/2005 </w:t>
      </w:r>
      <w:r>
        <w:rPr>
          <w:szCs w:val="24"/>
        </w:rPr>
        <w:t xml:space="preserve">(Vol. Principal, fls. 185-187), o </w:t>
      </w:r>
      <w:r w:rsidR="00646E45">
        <w:rPr>
          <w:szCs w:val="24"/>
        </w:rPr>
        <w:t>encaminhamento dos autos à Secretaria de Fiscalização de Obras para exame. Tal solicitação foi atendida pelo relator em despacho datado de 7/7/2005 (Vol. Principal, fl. 192).</w:t>
      </w:r>
    </w:p>
    <w:p w:rsidR="00646E45" w:rsidRDefault="00646E45" w:rsidP="00E862CE">
      <w:pPr>
        <w:pStyle w:val="Pargrafo-1nvel"/>
        <w:rPr>
          <w:szCs w:val="24"/>
        </w:rPr>
      </w:pPr>
      <w:r>
        <w:rPr>
          <w:szCs w:val="24"/>
        </w:rPr>
        <w:lastRenderedPageBreak/>
        <w:t>A Secob</w:t>
      </w:r>
      <w:r w:rsidR="00BB0331">
        <w:rPr>
          <w:szCs w:val="24"/>
        </w:rPr>
        <w:t>, em sua primeira atuação,</w:t>
      </w:r>
      <w:r>
        <w:rPr>
          <w:szCs w:val="24"/>
        </w:rPr>
        <w:t xml:space="preserve"> elaborou instrução em 19/1/2006 (Vol. 6, fls. 212-219), ratificando as irregularidades apontadas pela Secex/RN, entretanto, em análise conservadora, reduziu o montante do débito referente à </w:t>
      </w:r>
      <w:r w:rsidRPr="00646E45">
        <w:rPr>
          <w:szCs w:val="24"/>
        </w:rPr>
        <w:t>alteração indevida de índices de reajustamento de preços</w:t>
      </w:r>
      <w:r>
        <w:rPr>
          <w:szCs w:val="24"/>
        </w:rPr>
        <w:t>.</w:t>
      </w:r>
    </w:p>
    <w:p w:rsidR="00646E45" w:rsidRDefault="0043240D" w:rsidP="00E862CE">
      <w:pPr>
        <w:pStyle w:val="Pargrafo-1nvel"/>
        <w:rPr>
          <w:szCs w:val="24"/>
        </w:rPr>
      </w:pPr>
      <w:r>
        <w:rPr>
          <w:szCs w:val="24"/>
        </w:rPr>
        <w:t>A empresa Construtora OAS Ltda. apresentou</w:t>
      </w:r>
      <w:r w:rsidR="00BB0331" w:rsidRPr="00BB0331">
        <w:rPr>
          <w:szCs w:val="24"/>
        </w:rPr>
        <w:t xml:space="preserve"> memorial em sua defesa (Vol. 6, fls. 243-255)</w:t>
      </w:r>
      <w:r>
        <w:rPr>
          <w:szCs w:val="24"/>
        </w:rPr>
        <w:t>, e</w:t>
      </w:r>
      <w:r w:rsidRPr="0043240D">
        <w:rPr>
          <w:szCs w:val="24"/>
        </w:rPr>
        <w:t>m 30/7/2007</w:t>
      </w:r>
      <w:r>
        <w:rPr>
          <w:szCs w:val="24"/>
        </w:rPr>
        <w:t>. Por determinação do ministro relator (Vol. 6, fl. 242), o documento foi também analisado pela Secob</w:t>
      </w:r>
      <w:r w:rsidR="00BB0331">
        <w:rPr>
          <w:szCs w:val="24"/>
        </w:rPr>
        <w:t>, em sua segunda atuação nos autos</w:t>
      </w:r>
      <w:r>
        <w:rPr>
          <w:szCs w:val="24"/>
        </w:rPr>
        <w:t xml:space="preserve"> (Vol. Principal, fls. 256-259), que concluiu por não afastar as irregularidades apontadas.</w:t>
      </w:r>
    </w:p>
    <w:p w:rsidR="00E75C79" w:rsidRDefault="00C31656" w:rsidP="00E862CE">
      <w:pPr>
        <w:pStyle w:val="Pargrafo-1nvel"/>
        <w:rPr>
          <w:szCs w:val="24"/>
        </w:rPr>
      </w:pPr>
      <w:r>
        <w:rPr>
          <w:szCs w:val="24"/>
        </w:rPr>
        <w:t xml:space="preserve">Em 2/4/2008 foi prolatado o Acórdão </w:t>
      </w:r>
      <w:r w:rsidRPr="00C31656">
        <w:rPr>
          <w:szCs w:val="24"/>
        </w:rPr>
        <w:t>538/2008-TCU-Plenário</w:t>
      </w:r>
      <w:r>
        <w:rPr>
          <w:szCs w:val="24"/>
        </w:rPr>
        <w:t xml:space="preserve">, de relatoria do Exmo. Ministro Marcos Vilaça, no qual foram </w:t>
      </w:r>
      <w:r w:rsidR="0043240D">
        <w:rPr>
          <w:szCs w:val="24"/>
        </w:rPr>
        <w:t>constatada</w:t>
      </w:r>
      <w:r w:rsidR="00F72E5F">
        <w:rPr>
          <w:szCs w:val="24"/>
        </w:rPr>
        <w:t>s duas irregularidades no Contrato 6/99 da Codern: acréscimo indevido ao BDI da majoração da Cofins e CPMF na execução do contrato e alteração indevida de índices de reajustamento de preços</w:t>
      </w:r>
      <w:r w:rsidR="00E75C79">
        <w:rPr>
          <w:szCs w:val="24"/>
        </w:rPr>
        <w:t>.</w:t>
      </w:r>
    </w:p>
    <w:p w:rsidR="00E862CE" w:rsidRDefault="00F72E5F" w:rsidP="00E862CE">
      <w:pPr>
        <w:pStyle w:val="Pargrafo-1nvel"/>
        <w:rPr>
          <w:szCs w:val="24"/>
        </w:rPr>
      </w:pPr>
      <w:r>
        <w:rPr>
          <w:szCs w:val="24"/>
        </w:rPr>
        <w:t>Devido à primeira irregularidade, a empresa Construtora OAS Ltda</w:t>
      </w:r>
      <w:r w:rsidR="00615C69" w:rsidRPr="00E862CE">
        <w:rPr>
          <w:szCs w:val="24"/>
        </w:rPr>
        <w:t>.</w:t>
      </w:r>
      <w:r>
        <w:rPr>
          <w:szCs w:val="24"/>
        </w:rPr>
        <w:t xml:space="preserve"> foi condenada a recolher a dívida total de R$ 335.530,22, segundo as datas-base fixadas no texto do acórdão. Em relação à segunda irregularidade apontada, tanto a empresa OAS quanto os três membros da Comissão de Fiscalização do contrato foram condenados ao pagamento solidário da dívida total de R$ </w:t>
      </w:r>
      <w:r w:rsidR="00B24A37">
        <w:rPr>
          <w:szCs w:val="24"/>
        </w:rPr>
        <w:t>208.231,39, referida à data de 9/7/2001.</w:t>
      </w:r>
    </w:p>
    <w:p w:rsidR="00B24A37" w:rsidRDefault="00B24A37" w:rsidP="00E862CE">
      <w:pPr>
        <w:pStyle w:val="Pargrafo-1nvel"/>
        <w:rPr>
          <w:szCs w:val="24"/>
        </w:rPr>
      </w:pPr>
      <w:r>
        <w:rPr>
          <w:szCs w:val="24"/>
        </w:rPr>
        <w:t xml:space="preserve">Em 11/6/2008 os </w:t>
      </w:r>
      <w:r w:rsidR="004427FE">
        <w:rPr>
          <w:szCs w:val="24"/>
        </w:rPr>
        <w:t>responsáveis</w:t>
      </w:r>
      <w:r w:rsidR="00BA526B">
        <w:rPr>
          <w:szCs w:val="24"/>
        </w:rPr>
        <w:t>,</w:t>
      </w:r>
      <w:r w:rsidR="004427FE">
        <w:rPr>
          <w:szCs w:val="24"/>
        </w:rPr>
        <w:t xml:space="preserve"> </w:t>
      </w:r>
      <w:r>
        <w:rPr>
          <w:szCs w:val="24"/>
        </w:rPr>
        <w:t>Srs. Rubens de Siqueira Júnior, Emerson Fernandes Daniel Júnior e José Jackson Queiroga de Morais</w:t>
      </w:r>
      <w:r w:rsidR="00BA526B">
        <w:rPr>
          <w:szCs w:val="24"/>
        </w:rPr>
        <w:t>,</w:t>
      </w:r>
      <w:r>
        <w:rPr>
          <w:szCs w:val="24"/>
        </w:rPr>
        <w:t xml:space="preserve"> apresentaram recursos de reconsideração, juntados aos autos respectivamente nos Anexos I, II e III. Em 23/6/2008</w:t>
      </w:r>
      <w:r w:rsidR="00AB6A8B">
        <w:rPr>
          <w:szCs w:val="24"/>
        </w:rPr>
        <w:t>,</w:t>
      </w:r>
      <w:r>
        <w:rPr>
          <w:szCs w:val="24"/>
        </w:rPr>
        <w:t xml:space="preserve"> a empresa Construtora OAS Ltda. também apresentou seu recurso de reconsideração (Anexo IV, fls. 1-22).</w:t>
      </w:r>
      <w:r w:rsidR="005A6652">
        <w:rPr>
          <w:szCs w:val="24"/>
        </w:rPr>
        <w:t xml:space="preserve"> Foi </w:t>
      </w:r>
      <w:r w:rsidR="00D83FB8">
        <w:rPr>
          <w:szCs w:val="24"/>
        </w:rPr>
        <w:t>então concedido aos responsáveis e à empresa efeito suspensivo acerca do recolhimento dos débitos imputados.</w:t>
      </w:r>
    </w:p>
    <w:p w:rsidR="00B24A37" w:rsidRDefault="00B24A37" w:rsidP="00E862CE">
      <w:pPr>
        <w:pStyle w:val="Pargrafo-1nvel"/>
        <w:rPr>
          <w:szCs w:val="24"/>
        </w:rPr>
      </w:pPr>
      <w:r>
        <w:rPr>
          <w:szCs w:val="24"/>
        </w:rPr>
        <w:t xml:space="preserve">Preenchidos os requisitos de admissibilidade, </w:t>
      </w:r>
      <w:r w:rsidR="00136EA5">
        <w:rPr>
          <w:szCs w:val="24"/>
        </w:rPr>
        <w:t>os documentos foram analisados em instrução da Se</w:t>
      </w:r>
      <w:r w:rsidR="00BC6045">
        <w:rPr>
          <w:szCs w:val="24"/>
        </w:rPr>
        <w:t>cretaria de Recursos</w:t>
      </w:r>
      <w:r w:rsidR="00F119EC">
        <w:rPr>
          <w:szCs w:val="24"/>
        </w:rPr>
        <w:t xml:space="preserve"> </w:t>
      </w:r>
      <w:r w:rsidR="00136EA5">
        <w:rPr>
          <w:szCs w:val="24"/>
        </w:rPr>
        <w:t xml:space="preserve">(Anexo IV, fls. 27-34), </w:t>
      </w:r>
      <w:r w:rsidR="00F119EC">
        <w:rPr>
          <w:szCs w:val="24"/>
        </w:rPr>
        <w:t xml:space="preserve">datada de 14/10/2009, </w:t>
      </w:r>
      <w:r w:rsidR="00136EA5">
        <w:rPr>
          <w:szCs w:val="24"/>
        </w:rPr>
        <w:t>que concluiu por "conhecer dos recursos de reconsideração interpostos pelos recorrentes, para, no mérito, negar-lhes provimento, mantendo-se inalterado o Acórdão 538/2008 – Plenário". Tal proposta obteve a aquiescência da diretora e do secretário da unidade.</w:t>
      </w:r>
      <w:r w:rsidR="00F119EC">
        <w:rPr>
          <w:szCs w:val="24"/>
        </w:rPr>
        <w:t xml:space="preserve"> Em 18/1/2010</w:t>
      </w:r>
      <w:r w:rsidR="000D2720">
        <w:rPr>
          <w:szCs w:val="24"/>
        </w:rPr>
        <w:t>,</w:t>
      </w:r>
      <w:r w:rsidR="00F119EC">
        <w:rPr>
          <w:szCs w:val="24"/>
        </w:rPr>
        <w:t xml:space="preserve"> o </w:t>
      </w:r>
      <w:r w:rsidR="00BC6045">
        <w:rPr>
          <w:szCs w:val="24"/>
        </w:rPr>
        <w:t xml:space="preserve">Exmo. </w:t>
      </w:r>
      <w:r w:rsidR="00F119EC">
        <w:rPr>
          <w:szCs w:val="24"/>
        </w:rPr>
        <w:t>Procurador Sérgio Ricardo Costa Caribé emitiu parecer (Anexo IV, fl. 37)</w:t>
      </w:r>
      <w:r w:rsidR="000D2720">
        <w:rPr>
          <w:szCs w:val="24"/>
        </w:rPr>
        <w:t>,</w:t>
      </w:r>
      <w:r w:rsidR="00F119EC">
        <w:rPr>
          <w:szCs w:val="24"/>
        </w:rPr>
        <w:t xml:space="preserve"> também concordando com o encaminhamento proposto.</w:t>
      </w:r>
    </w:p>
    <w:p w:rsidR="00F119EC" w:rsidRDefault="00F119EC" w:rsidP="00CF1C51">
      <w:pPr>
        <w:pStyle w:val="Pargrafo-1nvel"/>
        <w:rPr>
          <w:szCs w:val="24"/>
        </w:rPr>
      </w:pPr>
      <w:r w:rsidRPr="00CF1C51">
        <w:rPr>
          <w:szCs w:val="24"/>
        </w:rPr>
        <w:t>Em 24/3/2010 o Sr. Emerson Fernandes Daniel Júnior apresentou nova documentação</w:t>
      </w:r>
      <w:r w:rsidR="00CF1C51">
        <w:rPr>
          <w:szCs w:val="24"/>
        </w:rPr>
        <w:t xml:space="preserve"> (Anexo IV, fls. 40-53)</w:t>
      </w:r>
      <w:r w:rsidR="00CF1C51" w:rsidRPr="00CF1C51">
        <w:rPr>
          <w:szCs w:val="24"/>
        </w:rPr>
        <w:t>, a qual chamou "memoriais".</w:t>
      </w:r>
      <w:r w:rsidR="00CF1C51">
        <w:rPr>
          <w:szCs w:val="24"/>
        </w:rPr>
        <w:t xml:space="preserve"> Em despacho datado de 28/5/2010, o Exmo. Ministro Relator Valmir Campelo determinou:</w:t>
      </w:r>
    </w:p>
    <w:p w:rsidR="00CF1C51" w:rsidRPr="00CF1C51" w:rsidRDefault="00CF1C51" w:rsidP="00CF1C51">
      <w:pPr>
        <w:pStyle w:val="Pargrafo-1nvel"/>
        <w:numPr>
          <w:ilvl w:val="0"/>
          <w:numId w:val="0"/>
        </w:numPr>
        <w:ind w:left="1134"/>
        <w:rPr>
          <w:sz w:val="22"/>
          <w:szCs w:val="22"/>
        </w:rPr>
      </w:pPr>
      <w:r w:rsidRPr="00CF1C51">
        <w:rPr>
          <w:sz w:val="22"/>
          <w:szCs w:val="22"/>
        </w:rPr>
        <w:t>Em homenagem aos princípios da ampla defesa e do contraditório, encareço da Secretaria de Recursos que examine o reflexo que a documentação pode produzir sobre a análise de mérito já empreendida, devendo ser ouvida, caso entenda necessário, a Secob, retornando os autos ao meu Gabinete via Ministério Público.</w:t>
      </w:r>
    </w:p>
    <w:p w:rsidR="00E75C79" w:rsidRPr="00C23B2A" w:rsidRDefault="00CF1C51" w:rsidP="00AE0B95">
      <w:pPr>
        <w:pStyle w:val="Pargrafo-1nvel"/>
        <w:rPr>
          <w:sz w:val="22"/>
        </w:rPr>
      </w:pPr>
      <w:r>
        <w:rPr>
          <w:szCs w:val="24"/>
        </w:rPr>
        <w:t>Em 7/12/2010,</w:t>
      </w:r>
      <w:r w:rsidR="00E862CE" w:rsidRPr="00CF1C51">
        <w:rPr>
          <w:szCs w:val="24"/>
        </w:rPr>
        <w:t xml:space="preserve"> </w:t>
      </w:r>
      <w:r w:rsidR="00BB0331">
        <w:rPr>
          <w:szCs w:val="24"/>
        </w:rPr>
        <w:t>segunda</w:t>
      </w:r>
      <w:r>
        <w:rPr>
          <w:szCs w:val="24"/>
        </w:rPr>
        <w:t xml:space="preserve"> instrução foi elaborada pela Serur (Anexo IV, fls. 54-61), ratificando as conclusões e o encaminhamento proposto na análise anterior. </w:t>
      </w:r>
      <w:r w:rsidR="00C23B2A">
        <w:rPr>
          <w:szCs w:val="24"/>
        </w:rPr>
        <w:t>Da mesma forma</w:t>
      </w:r>
      <w:r w:rsidR="001A1877">
        <w:rPr>
          <w:szCs w:val="24"/>
        </w:rPr>
        <w:t>,</w:t>
      </w:r>
      <w:r w:rsidR="00C23B2A">
        <w:rPr>
          <w:szCs w:val="24"/>
        </w:rPr>
        <w:t xml:space="preserve"> a diretora, o secretário e </w:t>
      </w:r>
      <w:r w:rsidR="0043240D">
        <w:rPr>
          <w:szCs w:val="24"/>
        </w:rPr>
        <w:t xml:space="preserve">o </w:t>
      </w:r>
      <w:r w:rsidR="00C23B2A">
        <w:rPr>
          <w:szCs w:val="24"/>
        </w:rPr>
        <w:t xml:space="preserve">douto procurador do </w:t>
      </w:r>
      <w:r w:rsidR="00C23B2A" w:rsidRPr="00C23B2A">
        <w:rPr>
          <w:i/>
          <w:szCs w:val="24"/>
        </w:rPr>
        <w:t>Parquet</w:t>
      </w:r>
      <w:r w:rsidR="00C23B2A">
        <w:rPr>
          <w:szCs w:val="24"/>
        </w:rPr>
        <w:t xml:space="preserve"> manifestaram-se de acordo.</w:t>
      </w:r>
    </w:p>
    <w:p w:rsidR="00C23B2A" w:rsidRPr="003A0EF9" w:rsidRDefault="00C23B2A" w:rsidP="00AE0B95">
      <w:pPr>
        <w:pStyle w:val="Pargrafo-1nvel"/>
        <w:rPr>
          <w:sz w:val="22"/>
        </w:rPr>
      </w:pPr>
      <w:r>
        <w:rPr>
          <w:szCs w:val="24"/>
        </w:rPr>
        <w:t>Estando os autos conclusos para julgamento, foram inclu</w:t>
      </w:r>
      <w:r w:rsidR="003A0EF9">
        <w:rPr>
          <w:szCs w:val="24"/>
        </w:rPr>
        <w:t>ídos na pauta da sessão plenária de 16/3/2011. Entretanto, em 14/3/2011</w:t>
      </w:r>
      <w:r w:rsidR="0043240D">
        <w:rPr>
          <w:szCs w:val="24"/>
        </w:rPr>
        <w:t>,</w:t>
      </w:r>
      <w:r w:rsidR="003A0EF9">
        <w:rPr>
          <w:szCs w:val="24"/>
        </w:rPr>
        <w:t xml:space="preserve"> a </w:t>
      </w:r>
      <w:r w:rsidR="00BA526B">
        <w:rPr>
          <w:szCs w:val="24"/>
        </w:rPr>
        <w:t>empresa</w:t>
      </w:r>
      <w:r w:rsidR="003A0EF9">
        <w:rPr>
          <w:szCs w:val="24"/>
        </w:rPr>
        <w:t xml:space="preserve"> OAS impetrou pedido de adiamento do julgamento (Anexo IV, fls. 65-66), para que pudesse conhecer de todas as peças do processo e apresentar Memorial. Tal solicitação foi atendida pelo Exmo. Ministro Relator.</w:t>
      </w:r>
    </w:p>
    <w:p w:rsidR="003A0EF9" w:rsidRPr="000D2720" w:rsidRDefault="003A0EF9" w:rsidP="00AE0B95">
      <w:pPr>
        <w:pStyle w:val="Pargrafo-1nvel"/>
        <w:rPr>
          <w:sz w:val="22"/>
        </w:rPr>
      </w:pPr>
      <w:r>
        <w:rPr>
          <w:szCs w:val="24"/>
        </w:rPr>
        <w:t>Em 7/4/2011</w:t>
      </w:r>
      <w:r w:rsidR="0043240D">
        <w:rPr>
          <w:szCs w:val="24"/>
        </w:rPr>
        <w:t>,</w:t>
      </w:r>
      <w:r>
        <w:rPr>
          <w:szCs w:val="24"/>
        </w:rPr>
        <w:t xml:space="preserve"> a empresa apresentou </w:t>
      </w:r>
      <w:r w:rsidR="007D7BB9">
        <w:rPr>
          <w:szCs w:val="24"/>
        </w:rPr>
        <w:t xml:space="preserve">novo memorial, o primeiro da fase recursal </w:t>
      </w:r>
      <w:r>
        <w:rPr>
          <w:szCs w:val="24"/>
        </w:rPr>
        <w:t>(Anexo IV, fls. 71-77), e</w:t>
      </w:r>
      <w:r w:rsidR="0043240D">
        <w:rPr>
          <w:szCs w:val="24"/>
        </w:rPr>
        <w:t>,</w:t>
      </w:r>
      <w:r>
        <w:rPr>
          <w:szCs w:val="24"/>
        </w:rPr>
        <w:t xml:space="preserve"> em 25/4/2011</w:t>
      </w:r>
      <w:r w:rsidR="0043240D">
        <w:rPr>
          <w:szCs w:val="24"/>
        </w:rPr>
        <w:t>,</w:t>
      </w:r>
      <w:r>
        <w:rPr>
          <w:szCs w:val="24"/>
        </w:rPr>
        <w:t xml:space="preserve"> o Sr. Emerson Fernandes Daniel Júnior também apresentou </w:t>
      </w:r>
      <w:r w:rsidR="004427FE">
        <w:rPr>
          <w:szCs w:val="24"/>
        </w:rPr>
        <w:t>nova peça</w:t>
      </w:r>
      <w:r w:rsidR="00BC6045">
        <w:rPr>
          <w:szCs w:val="24"/>
        </w:rPr>
        <w:t xml:space="preserve"> (Anexo IV, fls. </w:t>
      </w:r>
      <w:r w:rsidR="000D2720">
        <w:rPr>
          <w:szCs w:val="24"/>
        </w:rPr>
        <w:t xml:space="preserve">78-98). </w:t>
      </w:r>
    </w:p>
    <w:p w:rsidR="005003BF" w:rsidRPr="005003BF" w:rsidRDefault="005003BF" w:rsidP="005003BF">
      <w:pPr>
        <w:pStyle w:val="Pargrafo-1nvel"/>
        <w:numPr>
          <w:ilvl w:val="0"/>
          <w:numId w:val="0"/>
        </w:numPr>
        <w:rPr>
          <w:sz w:val="22"/>
        </w:rPr>
      </w:pPr>
    </w:p>
    <w:p w:rsidR="000D2720" w:rsidRPr="000D2720" w:rsidRDefault="000D2720" w:rsidP="00AE0B95">
      <w:pPr>
        <w:pStyle w:val="Pargrafo-1nvel"/>
        <w:rPr>
          <w:sz w:val="22"/>
        </w:rPr>
      </w:pPr>
      <w:r>
        <w:rPr>
          <w:szCs w:val="24"/>
        </w:rPr>
        <w:lastRenderedPageBreak/>
        <w:t>O Exmo. Ministro Valmir Campelo, em despacho datado de 28/4/2011, determinou:</w:t>
      </w:r>
    </w:p>
    <w:p w:rsidR="000D2720" w:rsidRDefault="000D2720" w:rsidP="000D2720">
      <w:pPr>
        <w:pStyle w:val="Pargrafo-1nvel"/>
        <w:numPr>
          <w:ilvl w:val="0"/>
          <w:numId w:val="0"/>
        </w:numPr>
        <w:ind w:left="1134"/>
        <w:rPr>
          <w:sz w:val="22"/>
        </w:rPr>
      </w:pPr>
      <w:r>
        <w:rPr>
          <w:sz w:val="22"/>
        </w:rPr>
        <w:t>Considerando a especificidade das questões de engenharia discutidas nos autos, encareço da Secob-4 que promova exame do processo e emita parecer sobre as razões e os argumentos expendidos no recurso e nos memoriais acostados pela Construtora OAS Ltda. e pelo responsável Emerson Fernandes Daniel Júnior.</w:t>
      </w:r>
    </w:p>
    <w:p w:rsidR="00625242" w:rsidRDefault="001A1877" w:rsidP="007D7FD6">
      <w:pPr>
        <w:pStyle w:val="Pargrafo-1nvel"/>
      </w:pPr>
      <w:r>
        <w:t>E</w:t>
      </w:r>
      <w:r w:rsidR="000D2720">
        <w:t>ncontrando-se os autos nesta Secretaria de Fiscalização de Obras</w:t>
      </w:r>
      <w:r>
        <w:t xml:space="preserve"> para análise</w:t>
      </w:r>
      <w:r w:rsidR="000D2720">
        <w:t xml:space="preserve">, a empresa </w:t>
      </w:r>
      <w:r>
        <w:t xml:space="preserve">OAS </w:t>
      </w:r>
      <w:r w:rsidR="000D2720">
        <w:t xml:space="preserve">apresentou </w:t>
      </w:r>
      <w:r>
        <w:t xml:space="preserve">ainda </w:t>
      </w:r>
      <w:r w:rsidR="007D7BB9">
        <w:t>novo m</w:t>
      </w:r>
      <w:r w:rsidR="000D2720">
        <w:t>emorial (Anexo IV, fls. 100-106)</w:t>
      </w:r>
      <w:r w:rsidR="007D7BB9">
        <w:t>, o segundo da fase recursal</w:t>
      </w:r>
      <w:r w:rsidR="000D2720">
        <w:t>, em 12/8/2011.</w:t>
      </w:r>
    </w:p>
    <w:p w:rsidR="00AE0B95" w:rsidRDefault="00115744" w:rsidP="007D7FD6">
      <w:pPr>
        <w:pStyle w:val="Ttulononumerado-1nvel"/>
      </w:pPr>
      <w:r>
        <w:t>Exame técnico</w:t>
      </w:r>
    </w:p>
    <w:p w:rsidR="00A16DD2" w:rsidRPr="004427FE" w:rsidRDefault="003A5AE3" w:rsidP="003A5AE3">
      <w:pPr>
        <w:pStyle w:val="Ttulononumerado-1nvel"/>
        <w:rPr>
          <w:caps w:val="0"/>
        </w:rPr>
      </w:pPr>
      <w:r>
        <w:rPr>
          <w:caps w:val="0"/>
        </w:rPr>
        <w:t xml:space="preserve">I. </w:t>
      </w:r>
      <w:r w:rsidR="004427FE" w:rsidRPr="004427FE">
        <w:rPr>
          <w:caps w:val="0"/>
        </w:rPr>
        <w:t xml:space="preserve">Escopo da </w:t>
      </w:r>
      <w:r w:rsidR="004427FE">
        <w:rPr>
          <w:caps w:val="0"/>
        </w:rPr>
        <w:t>presente instrução</w:t>
      </w:r>
    </w:p>
    <w:p w:rsidR="00041081" w:rsidRDefault="004427FE" w:rsidP="008B2F5E">
      <w:pPr>
        <w:pStyle w:val="Pargrafo-1nvel"/>
      </w:pPr>
      <w:r>
        <w:t>Em cumprimento ao Despacho do ministro relator</w:t>
      </w:r>
      <w:r w:rsidR="00EA57AD">
        <w:t>, o</w:t>
      </w:r>
      <w:r w:rsidR="006E7E3A">
        <w:t xml:space="preserve"> </w:t>
      </w:r>
      <w:r>
        <w:t xml:space="preserve">escopo do presente </w:t>
      </w:r>
      <w:r w:rsidR="006E7E3A">
        <w:t>exame técnico</w:t>
      </w:r>
      <w:r w:rsidR="00A269FE">
        <w:t xml:space="preserve"> </w:t>
      </w:r>
      <w:r>
        <w:t>ficará adstrito às questões de engenharia levantadas pelos recorrentes</w:t>
      </w:r>
      <w:r w:rsidR="009A2260">
        <w:t>.</w:t>
      </w:r>
      <w:r>
        <w:t xml:space="preserve"> </w:t>
      </w:r>
      <w:r w:rsidR="00F970B3">
        <w:t xml:space="preserve">Serão analisados os recursos de reconsideração impetrados, bem como, as peças nominadas "memoriais" apresentadas até a presente data, em respeito aos </w:t>
      </w:r>
      <w:r w:rsidR="008A18CF">
        <w:t>princípios da verdade material, do</w:t>
      </w:r>
      <w:r w:rsidR="00F970B3">
        <w:t xml:space="preserve"> formalismo moderado</w:t>
      </w:r>
      <w:r w:rsidR="008A18CF">
        <w:t>, do contraditório e da ampla defesa</w:t>
      </w:r>
      <w:r w:rsidR="00F970B3">
        <w:t>.</w:t>
      </w:r>
    </w:p>
    <w:p w:rsidR="008B2F5E" w:rsidRDefault="008B2F5E" w:rsidP="008B2F5E">
      <w:pPr>
        <w:pStyle w:val="Pargrafo-1nvel"/>
      </w:pPr>
      <w:r>
        <w:t xml:space="preserve">O cerne da questão de engenharia questionada </w:t>
      </w:r>
      <w:r w:rsidR="00BD201A">
        <w:t>constitui-se em apontar</w:t>
      </w:r>
      <w:r>
        <w:t xml:space="preserve"> qual seria o índice correto para reajusta</w:t>
      </w:r>
      <w:r w:rsidR="00BD201A">
        <w:t>mento</w:t>
      </w:r>
      <w:r>
        <w:t xml:space="preserve"> </w:t>
      </w:r>
      <w:r w:rsidR="00BD201A">
        <w:t>d</w:t>
      </w:r>
      <w:r>
        <w:t xml:space="preserve">o subitem 2.1 – Infraestrutura, Estacas de Concreto Armado moldadas </w:t>
      </w:r>
      <w:r w:rsidRPr="008B2F5E">
        <w:rPr>
          <w:i/>
        </w:rPr>
        <w:t>in loco</w:t>
      </w:r>
      <w:r>
        <w:t xml:space="preserve"> – da planilha de preços do contrato em tela.</w:t>
      </w:r>
    </w:p>
    <w:p w:rsidR="00E14DC1" w:rsidRDefault="009C4FED" w:rsidP="005003BF">
      <w:pPr>
        <w:pStyle w:val="Pargrafo-1nvel"/>
        <w:spacing w:after="120"/>
      </w:pPr>
      <w:r>
        <w:t>Segundo o parágrafo quinto da</w:t>
      </w:r>
      <w:r w:rsidR="005003BF">
        <w:t xml:space="preserve"> cláusula terceira do Contrato </w:t>
      </w:r>
      <w:r>
        <w:t xml:space="preserve">6/99 (Vol. 1, fl. 38), os preços avençados seriam </w:t>
      </w:r>
      <w:r w:rsidR="002C73CA">
        <w:t>"</w:t>
      </w:r>
      <w:r>
        <w:t>reajustados anualmente</w:t>
      </w:r>
      <w:r w:rsidR="002C73CA">
        <w:t>, para mais ou para menos, de acordo com a variação do índice</w:t>
      </w:r>
      <w:r>
        <w:t xml:space="preserve"> de obras portuárias calculado pe</w:t>
      </w:r>
      <w:r w:rsidR="002C73CA">
        <w:t>la Fundação Getúlio Vargas"</w:t>
      </w:r>
      <w:r>
        <w:t xml:space="preserve">. Tais índices estão divididos em sete colunas, conforme </w:t>
      </w:r>
      <w:r w:rsidR="00E14DC1">
        <w:t xml:space="preserve">a seguinte </w:t>
      </w:r>
      <w:r>
        <w:t>tabela:</w:t>
      </w:r>
    </w:p>
    <w:tbl>
      <w:tblPr>
        <w:tblStyle w:val="Tabelacomgrade"/>
        <w:tblW w:w="0" w:type="auto"/>
        <w:tblInd w:w="108" w:type="dxa"/>
        <w:tblLook w:val="04A0" w:firstRow="1" w:lastRow="0" w:firstColumn="1" w:lastColumn="0" w:noHBand="0" w:noVBand="1"/>
      </w:tblPr>
      <w:tblGrid>
        <w:gridCol w:w="1134"/>
        <w:gridCol w:w="8505"/>
      </w:tblGrid>
      <w:tr w:rsidR="009C4FED" w:rsidTr="00D83FB8">
        <w:tc>
          <w:tcPr>
            <w:tcW w:w="1134" w:type="dxa"/>
          </w:tcPr>
          <w:p w:rsidR="009C4FED" w:rsidRPr="009C4FED" w:rsidRDefault="009C4FED" w:rsidP="009C4FED">
            <w:pPr>
              <w:pStyle w:val="Pargrafo-1nvel"/>
              <w:numPr>
                <w:ilvl w:val="0"/>
                <w:numId w:val="0"/>
              </w:numPr>
              <w:jc w:val="center"/>
              <w:rPr>
                <w:b/>
              </w:rPr>
            </w:pPr>
            <w:r w:rsidRPr="009C4FED">
              <w:rPr>
                <w:b/>
              </w:rPr>
              <w:t>Coluna</w:t>
            </w:r>
          </w:p>
        </w:tc>
        <w:tc>
          <w:tcPr>
            <w:tcW w:w="8505" w:type="dxa"/>
          </w:tcPr>
          <w:p w:rsidR="009C4FED" w:rsidRPr="009C4FED" w:rsidRDefault="009C4FED" w:rsidP="009C4FED">
            <w:pPr>
              <w:pStyle w:val="Pargrafo-1nvel"/>
              <w:numPr>
                <w:ilvl w:val="0"/>
                <w:numId w:val="0"/>
              </w:numPr>
              <w:rPr>
                <w:b/>
              </w:rPr>
            </w:pPr>
            <w:r w:rsidRPr="009C4FED">
              <w:rPr>
                <w:b/>
              </w:rPr>
              <w:t>Índice de obras portuárias</w:t>
            </w:r>
          </w:p>
        </w:tc>
      </w:tr>
      <w:tr w:rsidR="009C4FED" w:rsidTr="00D83FB8">
        <w:tc>
          <w:tcPr>
            <w:tcW w:w="1134" w:type="dxa"/>
          </w:tcPr>
          <w:p w:rsidR="009C4FED" w:rsidRDefault="009C4FED" w:rsidP="009C4FED">
            <w:pPr>
              <w:pStyle w:val="Pargrafo-1nvel"/>
              <w:numPr>
                <w:ilvl w:val="0"/>
                <w:numId w:val="0"/>
              </w:numPr>
              <w:jc w:val="center"/>
            </w:pPr>
            <w:r>
              <w:t>40</w:t>
            </w:r>
          </w:p>
        </w:tc>
        <w:tc>
          <w:tcPr>
            <w:tcW w:w="8505" w:type="dxa"/>
          </w:tcPr>
          <w:p w:rsidR="009C4FED" w:rsidRDefault="009C4FED" w:rsidP="009C4FED">
            <w:pPr>
              <w:pStyle w:val="Pargrafo-1nvel"/>
              <w:numPr>
                <w:ilvl w:val="0"/>
                <w:numId w:val="0"/>
              </w:numPr>
            </w:pPr>
            <w:r>
              <w:t>Estruturas e obras em concreto armado</w:t>
            </w:r>
          </w:p>
        </w:tc>
      </w:tr>
      <w:tr w:rsidR="009C4FED" w:rsidTr="00D83FB8">
        <w:tc>
          <w:tcPr>
            <w:tcW w:w="1134" w:type="dxa"/>
          </w:tcPr>
          <w:p w:rsidR="009C4FED" w:rsidRDefault="009C4FED" w:rsidP="009C4FED">
            <w:pPr>
              <w:pStyle w:val="Pargrafo-1nvel"/>
              <w:numPr>
                <w:ilvl w:val="0"/>
                <w:numId w:val="0"/>
              </w:numPr>
              <w:jc w:val="center"/>
            </w:pPr>
            <w:r>
              <w:t>41</w:t>
            </w:r>
          </w:p>
        </w:tc>
        <w:tc>
          <w:tcPr>
            <w:tcW w:w="8505" w:type="dxa"/>
          </w:tcPr>
          <w:p w:rsidR="009C4FED" w:rsidRDefault="009C4FED" w:rsidP="009C4FED">
            <w:pPr>
              <w:pStyle w:val="Pargrafo-1nvel"/>
              <w:numPr>
                <w:ilvl w:val="0"/>
                <w:numId w:val="0"/>
              </w:numPr>
            </w:pPr>
            <w:r>
              <w:t>Estruturas e fundações metálicas</w:t>
            </w:r>
          </w:p>
        </w:tc>
      </w:tr>
      <w:tr w:rsidR="009C4FED" w:rsidTr="00D83FB8">
        <w:tc>
          <w:tcPr>
            <w:tcW w:w="1134" w:type="dxa"/>
          </w:tcPr>
          <w:p w:rsidR="009C4FED" w:rsidRDefault="009C4FED" w:rsidP="009C4FED">
            <w:pPr>
              <w:pStyle w:val="Pargrafo-1nvel"/>
              <w:numPr>
                <w:ilvl w:val="0"/>
                <w:numId w:val="0"/>
              </w:numPr>
              <w:jc w:val="center"/>
            </w:pPr>
            <w:r>
              <w:t>42</w:t>
            </w:r>
          </w:p>
        </w:tc>
        <w:tc>
          <w:tcPr>
            <w:tcW w:w="8505" w:type="dxa"/>
          </w:tcPr>
          <w:p w:rsidR="009C4FED" w:rsidRDefault="009C4FED" w:rsidP="009C4FED">
            <w:pPr>
              <w:pStyle w:val="Pargrafo-1nvel"/>
              <w:numPr>
                <w:ilvl w:val="0"/>
                <w:numId w:val="0"/>
              </w:numPr>
            </w:pPr>
            <w:r>
              <w:t>Dragagens</w:t>
            </w:r>
          </w:p>
        </w:tc>
      </w:tr>
      <w:tr w:rsidR="009C4FED" w:rsidTr="00D83FB8">
        <w:tc>
          <w:tcPr>
            <w:tcW w:w="1134" w:type="dxa"/>
          </w:tcPr>
          <w:p w:rsidR="009C4FED" w:rsidRDefault="009C4FED" w:rsidP="009C4FED">
            <w:pPr>
              <w:pStyle w:val="Pargrafo-1nvel"/>
              <w:numPr>
                <w:ilvl w:val="0"/>
                <w:numId w:val="0"/>
              </w:numPr>
              <w:jc w:val="center"/>
            </w:pPr>
            <w:r>
              <w:t>43</w:t>
            </w:r>
          </w:p>
        </w:tc>
        <w:tc>
          <w:tcPr>
            <w:tcW w:w="8505" w:type="dxa"/>
          </w:tcPr>
          <w:p w:rsidR="009C4FED" w:rsidRDefault="009C4FED" w:rsidP="009C4FED">
            <w:pPr>
              <w:pStyle w:val="Pargrafo-1nvel"/>
              <w:numPr>
                <w:ilvl w:val="0"/>
                <w:numId w:val="0"/>
              </w:numPr>
            </w:pPr>
            <w:r>
              <w:t>Enrocamentos</w:t>
            </w:r>
          </w:p>
        </w:tc>
      </w:tr>
      <w:tr w:rsidR="009C4FED" w:rsidTr="00D83FB8">
        <w:tc>
          <w:tcPr>
            <w:tcW w:w="1134" w:type="dxa"/>
          </w:tcPr>
          <w:p w:rsidR="009C4FED" w:rsidRDefault="009C4FED" w:rsidP="009C4FED">
            <w:pPr>
              <w:pStyle w:val="Pargrafo-1nvel"/>
              <w:numPr>
                <w:ilvl w:val="0"/>
                <w:numId w:val="0"/>
              </w:numPr>
              <w:jc w:val="center"/>
            </w:pPr>
            <w:r>
              <w:t>44</w:t>
            </w:r>
          </w:p>
        </w:tc>
        <w:tc>
          <w:tcPr>
            <w:tcW w:w="8505" w:type="dxa"/>
          </w:tcPr>
          <w:p w:rsidR="009C4FED" w:rsidRDefault="009C4FED" w:rsidP="009C4FED">
            <w:pPr>
              <w:pStyle w:val="Pargrafo-1nvel"/>
              <w:numPr>
                <w:ilvl w:val="0"/>
                <w:numId w:val="0"/>
              </w:numPr>
            </w:pPr>
            <w:r>
              <w:t>Redes de energia elétrica e sinalização ferroviária</w:t>
            </w:r>
          </w:p>
        </w:tc>
      </w:tr>
      <w:tr w:rsidR="009C4FED" w:rsidTr="00D83FB8">
        <w:tc>
          <w:tcPr>
            <w:tcW w:w="1134" w:type="dxa"/>
          </w:tcPr>
          <w:p w:rsidR="009C4FED" w:rsidRDefault="009C4FED" w:rsidP="009C4FED">
            <w:pPr>
              <w:pStyle w:val="Pargrafo-1nvel"/>
              <w:numPr>
                <w:ilvl w:val="0"/>
                <w:numId w:val="0"/>
              </w:numPr>
              <w:jc w:val="center"/>
            </w:pPr>
            <w:r>
              <w:t>45</w:t>
            </w:r>
          </w:p>
        </w:tc>
        <w:tc>
          <w:tcPr>
            <w:tcW w:w="8505" w:type="dxa"/>
          </w:tcPr>
          <w:p w:rsidR="009C4FED" w:rsidRDefault="009C4FED" w:rsidP="009C4FED">
            <w:pPr>
              <w:pStyle w:val="Pargrafo-1nvel"/>
              <w:numPr>
                <w:ilvl w:val="0"/>
                <w:numId w:val="0"/>
              </w:numPr>
            </w:pPr>
            <w:r>
              <w:t>Linhas férreas</w:t>
            </w:r>
          </w:p>
        </w:tc>
      </w:tr>
      <w:tr w:rsidR="009C4FED" w:rsidTr="00D83FB8">
        <w:tc>
          <w:tcPr>
            <w:tcW w:w="1134" w:type="dxa"/>
          </w:tcPr>
          <w:p w:rsidR="009C4FED" w:rsidRDefault="009C4FED" w:rsidP="009C4FED">
            <w:pPr>
              <w:pStyle w:val="Pargrafo-1nvel"/>
              <w:numPr>
                <w:ilvl w:val="0"/>
                <w:numId w:val="0"/>
              </w:numPr>
              <w:jc w:val="center"/>
            </w:pPr>
            <w:r>
              <w:t>46</w:t>
            </w:r>
          </w:p>
        </w:tc>
        <w:tc>
          <w:tcPr>
            <w:tcW w:w="8505" w:type="dxa"/>
          </w:tcPr>
          <w:p w:rsidR="009C4FED" w:rsidRDefault="009C4FED" w:rsidP="009C4FED">
            <w:pPr>
              <w:pStyle w:val="Pargrafo-1nvel"/>
              <w:numPr>
                <w:ilvl w:val="0"/>
                <w:numId w:val="0"/>
              </w:numPr>
            </w:pPr>
            <w:r>
              <w:t>Obras complementares</w:t>
            </w:r>
          </w:p>
        </w:tc>
      </w:tr>
    </w:tbl>
    <w:p w:rsidR="009C4FED" w:rsidRDefault="001541DA" w:rsidP="001541DA">
      <w:pPr>
        <w:pStyle w:val="Pargrafo-1nvel"/>
      </w:pPr>
      <w:r>
        <w:t>Verific</w:t>
      </w:r>
      <w:r w:rsidR="005D4389">
        <w:t>a</w:t>
      </w:r>
      <w:r>
        <w:t xml:space="preserve">-se nos autos que o subitem </w:t>
      </w:r>
      <w:r w:rsidRPr="001541DA">
        <w:t>2.1 da planilh</w:t>
      </w:r>
      <w:r>
        <w:t xml:space="preserve">a de preços do contrato foi reajustado </w:t>
      </w:r>
      <w:r w:rsidR="00C94477">
        <w:t>segundo</w:t>
      </w:r>
      <w:r>
        <w:t xml:space="preserve"> a variação da coluna 40 – Estrutu</w:t>
      </w:r>
      <w:r w:rsidR="002C73CA">
        <w:t>ras e obras em concreto armado. A</w:t>
      </w:r>
      <w:r>
        <w:t xml:space="preserve"> Secex/RN apontou que o índice correto seria o da coluna 41 – Estruturas e fundações metálicas</w:t>
      </w:r>
      <w:r w:rsidR="005003BF">
        <w:t xml:space="preserve"> –</w:t>
      </w:r>
      <w:r>
        <w:t>, conforme instrução elaborada em 25/10/2002 (fls. 1-21)</w:t>
      </w:r>
      <w:r w:rsidR="002C73CA">
        <w:t>, devido ao maior peso dos componentes metálicos no serviço</w:t>
      </w:r>
      <w:r>
        <w:t>. Des</w:t>
      </w:r>
      <w:r w:rsidR="007D7BB9">
        <w:t>s</w:t>
      </w:r>
      <w:r>
        <w:t>a forma, calculou o d</w:t>
      </w:r>
      <w:r w:rsidR="00C94477">
        <w:t>ébito de R$ 301.490,67 em função da escolha equivocada do índice</w:t>
      </w:r>
      <w:r w:rsidR="005003BF">
        <w:t xml:space="preserve"> pela Comissão de Fiscalização da obra</w:t>
      </w:r>
      <w:r w:rsidR="00C94477">
        <w:t>.</w:t>
      </w:r>
    </w:p>
    <w:p w:rsidR="00E14DC1" w:rsidRDefault="00C94477" w:rsidP="00E14DC1">
      <w:pPr>
        <w:pStyle w:val="Pargrafo-1nvel"/>
        <w:spacing w:after="120"/>
      </w:pPr>
      <w:r>
        <w:t>Em nova análise</w:t>
      </w:r>
      <w:r w:rsidR="005003BF">
        <w:t>,</w:t>
      </w:r>
      <w:r>
        <w:t xml:space="preserve"> datada de 19/1/2006</w:t>
      </w:r>
      <w:r w:rsidR="00F27632">
        <w:t xml:space="preserve"> (Vol. 6, fls. 212-219)</w:t>
      </w:r>
      <w:r>
        <w:t xml:space="preserve">, a Secob </w:t>
      </w:r>
      <w:r w:rsidR="002C73CA">
        <w:t xml:space="preserve">concluiu que uma parcela do subitem 2.1 era composta de trabalhos </w:t>
      </w:r>
      <w:r w:rsidR="003C0FE9">
        <w:t>ligados</w:t>
      </w:r>
      <w:r w:rsidR="002C73CA">
        <w:t xml:space="preserve"> à coluna 40. Assim,</w:t>
      </w:r>
      <w:r>
        <w:t xml:space="preserve"> </w:t>
      </w:r>
      <w:r w:rsidR="002C73CA">
        <w:t xml:space="preserve">de forma conservadora, </w:t>
      </w:r>
      <w:r>
        <w:t>subdividiu o</w:t>
      </w:r>
      <w:r w:rsidR="00E14DC1">
        <w:t>s serviços que compõem o</w:t>
      </w:r>
      <w:r>
        <w:t xml:space="preserve"> referido subitem </w:t>
      </w:r>
      <w:r w:rsidR="00E14DC1">
        <w:t>em duas classes, segundo seu</w:t>
      </w:r>
      <w:r>
        <w:t xml:space="preserve"> enquadra</w:t>
      </w:r>
      <w:r w:rsidR="00E14DC1">
        <w:t>mento</w:t>
      </w:r>
      <w:r>
        <w:t xml:space="preserve"> em uma ou outra coluna</w:t>
      </w:r>
      <w:r w:rsidR="00444572">
        <w:t xml:space="preserve">, </w:t>
      </w:r>
      <w:r w:rsidR="00E14DC1">
        <w:t>conforme</w:t>
      </w:r>
      <w:r w:rsidR="00444572">
        <w:t xml:space="preserve"> a tabela apresentada </w:t>
      </w:r>
      <w:r w:rsidR="005003BF">
        <w:t>a seguir</w:t>
      </w:r>
      <w:r>
        <w:t xml:space="preserve">. </w:t>
      </w:r>
      <w:r w:rsidR="002C73CA">
        <w:t>Dessa forma</w:t>
      </w:r>
      <w:r>
        <w:t xml:space="preserve">, </w:t>
      </w:r>
      <w:r w:rsidR="005003BF">
        <w:t>o débito</w:t>
      </w:r>
      <w:r>
        <w:t xml:space="preserve"> foi </w:t>
      </w:r>
      <w:r w:rsidR="005003BF">
        <w:t xml:space="preserve">recalculado e restou </w:t>
      </w:r>
      <w:r>
        <w:t>reduzido para R$ 208.231,39</w:t>
      </w:r>
      <w:r w:rsidR="005D4389">
        <w:t>,</w:t>
      </w:r>
      <w:r>
        <w:t xml:space="preserve"> na data </w:t>
      </w:r>
      <w:r w:rsidR="00E14DC1">
        <w:t xml:space="preserve">original </w:t>
      </w:r>
      <w:r>
        <w:t>de 9/7/2001.</w:t>
      </w:r>
    </w:p>
    <w:p w:rsidR="005003BF" w:rsidRDefault="005003BF" w:rsidP="005003BF">
      <w:pPr>
        <w:pStyle w:val="Pargrafo-1nvel"/>
        <w:numPr>
          <w:ilvl w:val="0"/>
          <w:numId w:val="0"/>
        </w:numPr>
        <w:spacing w:after="120"/>
      </w:pPr>
    </w:p>
    <w:p w:rsidR="005003BF" w:rsidRDefault="005003BF" w:rsidP="005003BF">
      <w:pPr>
        <w:pStyle w:val="Pargrafo-1nvel"/>
        <w:numPr>
          <w:ilvl w:val="0"/>
          <w:numId w:val="0"/>
        </w:numPr>
        <w:spacing w:after="120"/>
      </w:pPr>
    </w:p>
    <w:tbl>
      <w:tblPr>
        <w:tblStyle w:val="Tabelacomgrade"/>
        <w:tblW w:w="9639" w:type="dxa"/>
        <w:tblInd w:w="108" w:type="dxa"/>
        <w:tblLook w:val="04A0" w:firstRow="1" w:lastRow="0" w:firstColumn="1" w:lastColumn="0" w:noHBand="0" w:noVBand="1"/>
      </w:tblPr>
      <w:tblGrid>
        <w:gridCol w:w="1070"/>
        <w:gridCol w:w="5026"/>
        <w:gridCol w:w="1842"/>
        <w:gridCol w:w="1701"/>
      </w:tblGrid>
      <w:tr w:rsidR="00557778" w:rsidRPr="003518D6" w:rsidTr="00557778">
        <w:tc>
          <w:tcPr>
            <w:tcW w:w="1070" w:type="dxa"/>
          </w:tcPr>
          <w:p w:rsidR="00557778" w:rsidRPr="003518D6" w:rsidRDefault="00557778" w:rsidP="00444572">
            <w:pPr>
              <w:pStyle w:val="Pargrafo-1nvel"/>
              <w:numPr>
                <w:ilvl w:val="0"/>
                <w:numId w:val="0"/>
              </w:numPr>
              <w:rPr>
                <w:b/>
              </w:rPr>
            </w:pPr>
            <w:r w:rsidRPr="003518D6">
              <w:rPr>
                <w:b/>
              </w:rPr>
              <w:t>Subitem</w:t>
            </w:r>
          </w:p>
        </w:tc>
        <w:tc>
          <w:tcPr>
            <w:tcW w:w="5026" w:type="dxa"/>
          </w:tcPr>
          <w:p w:rsidR="00557778" w:rsidRPr="003518D6" w:rsidRDefault="00557778" w:rsidP="00444572">
            <w:pPr>
              <w:pStyle w:val="Pargrafo-1nvel"/>
              <w:numPr>
                <w:ilvl w:val="0"/>
                <w:numId w:val="0"/>
              </w:numPr>
              <w:rPr>
                <w:b/>
              </w:rPr>
            </w:pPr>
            <w:r w:rsidRPr="003518D6">
              <w:rPr>
                <w:b/>
              </w:rPr>
              <w:t>Serviço</w:t>
            </w:r>
          </w:p>
        </w:tc>
        <w:tc>
          <w:tcPr>
            <w:tcW w:w="1842" w:type="dxa"/>
          </w:tcPr>
          <w:p w:rsidR="00557778" w:rsidRPr="003518D6" w:rsidRDefault="00557778" w:rsidP="003518D6">
            <w:pPr>
              <w:pStyle w:val="Pargrafo-1nvel"/>
              <w:numPr>
                <w:ilvl w:val="0"/>
                <w:numId w:val="0"/>
              </w:numPr>
              <w:jc w:val="center"/>
              <w:rPr>
                <w:b/>
              </w:rPr>
            </w:pPr>
            <w:r>
              <w:rPr>
                <w:b/>
              </w:rPr>
              <w:t>Porcentagem relativa</w:t>
            </w:r>
          </w:p>
        </w:tc>
        <w:tc>
          <w:tcPr>
            <w:tcW w:w="1701" w:type="dxa"/>
          </w:tcPr>
          <w:p w:rsidR="00557778" w:rsidRPr="003518D6" w:rsidRDefault="00557778" w:rsidP="003518D6">
            <w:pPr>
              <w:pStyle w:val="Pargrafo-1nvel"/>
              <w:numPr>
                <w:ilvl w:val="0"/>
                <w:numId w:val="0"/>
              </w:numPr>
              <w:jc w:val="center"/>
              <w:rPr>
                <w:b/>
              </w:rPr>
            </w:pPr>
            <w:r w:rsidRPr="003518D6">
              <w:rPr>
                <w:b/>
              </w:rPr>
              <w:t>Coluna para reajustamento</w:t>
            </w:r>
          </w:p>
        </w:tc>
      </w:tr>
      <w:tr w:rsidR="00557778" w:rsidTr="00557778">
        <w:tc>
          <w:tcPr>
            <w:tcW w:w="1070" w:type="dxa"/>
          </w:tcPr>
          <w:p w:rsidR="00557778" w:rsidRDefault="00557778" w:rsidP="00444572">
            <w:pPr>
              <w:pStyle w:val="Pargrafo-1nvel"/>
              <w:numPr>
                <w:ilvl w:val="0"/>
                <w:numId w:val="0"/>
              </w:numPr>
            </w:pPr>
            <w:r>
              <w:t>2.1.1</w:t>
            </w:r>
          </w:p>
        </w:tc>
        <w:tc>
          <w:tcPr>
            <w:tcW w:w="5026" w:type="dxa"/>
          </w:tcPr>
          <w:p w:rsidR="00557778" w:rsidRDefault="00557778" w:rsidP="00444572">
            <w:pPr>
              <w:pStyle w:val="Pargrafo-1nvel"/>
              <w:numPr>
                <w:ilvl w:val="0"/>
                <w:numId w:val="0"/>
              </w:numPr>
            </w:pPr>
            <w:r>
              <w:t>Fornecimento de camisa metálica</w:t>
            </w:r>
          </w:p>
        </w:tc>
        <w:tc>
          <w:tcPr>
            <w:tcW w:w="1842" w:type="dxa"/>
          </w:tcPr>
          <w:p w:rsidR="00557778" w:rsidRDefault="002A6CFA" w:rsidP="003518D6">
            <w:pPr>
              <w:pStyle w:val="Pargrafo-1nvel"/>
              <w:numPr>
                <w:ilvl w:val="0"/>
                <w:numId w:val="0"/>
              </w:numPr>
              <w:jc w:val="center"/>
            </w:pPr>
            <w:r>
              <w:t>45,3%</w:t>
            </w:r>
          </w:p>
        </w:tc>
        <w:tc>
          <w:tcPr>
            <w:tcW w:w="1701" w:type="dxa"/>
          </w:tcPr>
          <w:p w:rsidR="00557778" w:rsidRDefault="00557778" w:rsidP="003518D6">
            <w:pPr>
              <w:pStyle w:val="Pargrafo-1nvel"/>
              <w:numPr>
                <w:ilvl w:val="0"/>
                <w:numId w:val="0"/>
              </w:numPr>
              <w:jc w:val="center"/>
            </w:pPr>
            <w:r>
              <w:t>41</w:t>
            </w:r>
          </w:p>
        </w:tc>
      </w:tr>
      <w:tr w:rsidR="00557778" w:rsidTr="00557778">
        <w:tc>
          <w:tcPr>
            <w:tcW w:w="1070" w:type="dxa"/>
          </w:tcPr>
          <w:p w:rsidR="00557778" w:rsidRDefault="00557778" w:rsidP="00444572">
            <w:pPr>
              <w:pStyle w:val="Pargrafo-1nvel"/>
              <w:numPr>
                <w:ilvl w:val="0"/>
                <w:numId w:val="0"/>
              </w:numPr>
            </w:pPr>
            <w:r>
              <w:t>2.1.2</w:t>
            </w:r>
          </w:p>
        </w:tc>
        <w:tc>
          <w:tcPr>
            <w:tcW w:w="5026" w:type="dxa"/>
          </w:tcPr>
          <w:p w:rsidR="00557778" w:rsidRDefault="00557778" w:rsidP="00444572">
            <w:pPr>
              <w:pStyle w:val="Pargrafo-1nvel"/>
              <w:numPr>
                <w:ilvl w:val="0"/>
                <w:numId w:val="0"/>
              </w:numPr>
            </w:pPr>
            <w:r>
              <w:t>Solda das camisas metálicas</w:t>
            </w:r>
          </w:p>
        </w:tc>
        <w:tc>
          <w:tcPr>
            <w:tcW w:w="1842" w:type="dxa"/>
          </w:tcPr>
          <w:p w:rsidR="00557778" w:rsidRDefault="002A6CFA" w:rsidP="003518D6">
            <w:pPr>
              <w:pStyle w:val="Pargrafo-1nvel"/>
              <w:numPr>
                <w:ilvl w:val="0"/>
                <w:numId w:val="0"/>
              </w:numPr>
              <w:jc w:val="center"/>
            </w:pPr>
            <w:r>
              <w:t>3,2%</w:t>
            </w:r>
          </w:p>
        </w:tc>
        <w:tc>
          <w:tcPr>
            <w:tcW w:w="1701" w:type="dxa"/>
          </w:tcPr>
          <w:p w:rsidR="00557778" w:rsidRDefault="00557778" w:rsidP="003518D6">
            <w:pPr>
              <w:pStyle w:val="Pargrafo-1nvel"/>
              <w:numPr>
                <w:ilvl w:val="0"/>
                <w:numId w:val="0"/>
              </w:numPr>
              <w:jc w:val="center"/>
            </w:pPr>
            <w:r>
              <w:t>41</w:t>
            </w:r>
          </w:p>
        </w:tc>
      </w:tr>
      <w:tr w:rsidR="00557778" w:rsidTr="00557778">
        <w:tc>
          <w:tcPr>
            <w:tcW w:w="1070" w:type="dxa"/>
          </w:tcPr>
          <w:p w:rsidR="00557778" w:rsidRDefault="00557778" w:rsidP="00444572">
            <w:pPr>
              <w:pStyle w:val="Pargrafo-1nvel"/>
              <w:numPr>
                <w:ilvl w:val="0"/>
                <w:numId w:val="0"/>
              </w:numPr>
            </w:pPr>
            <w:r>
              <w:t>2.1.3</w:t>
            </w:r>
          </w:p>
        </w:tc>
        <w:tc>
          <w:tcPr>
            <w:tcW w:w="5026" w:type="dxa"/>
          </w:tcPr>
          <w:p w:rsidR="00557778" w:rsidRDefault="00557778" w:rsidP="00444572">
            <w:pPr>
              <w:pStyle w:val="Pargrafo-1nvel"/>
              <w:numPr>
                <w:ilvl w:val="0"/>
                <w:numId w:val="0"/>
              </w:numPr>
            </w:pPr>
            <w:r>
              <w:t>Cravação de estacas e contraventamento</w:t>
            </w:r>
          </w:p>
        </w:tc>
        <w:tc>
          <w:tcPr>
            <w:tcW w:w="1842" w:type="dxa"/>
          </w:tcPr>
          <w:p w:rsidR="00557778" w:rsidRDefault="002A6CFA" w:rsidP="003518D6">
            <w:pPr>
              <w:pStyle w:val="Pargrafo-1nvel"/>
              <w:numPr>
                <w:ilvl w:val="0"/>
                <w:numId w:val="0"/>
              </w:numPr>
              <w:jc w:val="center"/>
            </w:pPr>
            <w:r>
              <w:t>23,7%</w:t>
            </w:r>
          </w:p>
        </w:tc>
        <w:tc>
          <w:tcPr>
            <w:tcW w:w="1701" w:type="dxa"/>
          </w:tcPr>
          <w:p w:rsidR="00557778" w:rsidRDefault="00557778" w:rsidP="003518D6">
            <w:pPr>
              <w:pStyle w:val="Pargrafo-1nvel"/>
              <w:numPr>
                <w:ilvl w:val="0"/>
                <w:numId w:val="0"/>
              </w:numPr>
              <w:jc w:val="center"/>
            </w:pPr>
            <w:r>
              <w:t>41</w:t>
            </w:r>
          </w:p>
        </w:tc>
      </w:tr>
      <w:tr w:rsidR="00557778" w:rsidTr="00557778">
        <w:tc>
          <w:tcPr>
            <w:tcW w:w="1070" w:type="dxa"/>
          </w:tcPr>
          <w:p w:rsidR="00557778" w:rsidRDefault="00557778" w:rsidP="00444572">
            <w:pPr>
              <w:pStyle w:val="Pargrafo-1nvel"/>
              <w:numPr>
                <w:ilvl w:val="0"/>
                <w:numId w:val="0"/>
              </w:numPr>
            </w:pPr>
            <w:r>
              <w:t>2.1.4</w:t>
            </w:r>
          </w:p>
        </w:tc>
        <w:tc>
          <w:tcPr>
            <w:tcW w:w="5026" w:type="dxa"/>
          </w:tcPr>
          <w:p w:rsidR="00557778" w:rsidRDefault="00557778" w:rsidP="00444572">
            <w:pPr>
              <w:pStyle w:val="Pargrafo-1nvel"/>
              <w:numPr>
                <w:ilvl w:val="0"/>
                <w:numId w:val="0"/>
              </w:numPr>
            </w:pPr>
            <w:r>
              <w:t>Limpeza de estacas</w:t>
            </w:r>
          </w:p>
        </w:tc>
        <w:tc>
          <w:tcPr>
            <w:tcW w:w="1842" w:type="dxa"/>
          </w:tcPr>
          <w:p w:rsidR="00557778" w:rsidRDefault="002A6CFA" w:rsidP="003518D6">
            <w:pPr>
              <w:pStyle w:val="Pargrafo-1nvel"/>
              <w:numPr>
                <w:ilvl w:val="0"/>
                <w:numId w:val="0"/>
              </w:numPr>
              <w:jc w:val="center"/>
            </w:pPr>
            <w:r>
              <w:t>3,6%</w:t>
            </w:r>
          </w:p>
        </w:tc>
        <w:tc>
          <w:tcPr>
            <w:tcW w:w="1701" w:type="dxa"/>
          </w:tcPr>
          <w:p w:rsidR="00557778" w:rsidRDefault="00557778" w:rsidP="003518D6">
            <w:pPr>
              <w:pStyle w:val="Pargrafo-1nvel"/>
              <w:numPr>
                <w:ilvl w:val="0"/>
                <w:numId w:val="0"/>
              </w:numPr>
              <w:jc w:val="center"/>
            </w:pPr>
            <w:r>
              <w:t>40</w:t>
            </w:r>
          </w:p>
        </w:tc>
      </w:tr>
      <w:tr w:rsidR="00557778" w:rsidTr="00557778">
        <w:tc>
          <w:tcPr>
            <w:tcW w:w="1070" w:type="dxa"/>
          </w:tcPr>
          <w:p w:rsidR="00557778" w:rsidRDefault="00557778" w:rsidP="00444572">
            <w:pPr>
              <w:pStyle w:val="Pargrafo-1nvel"/>
              <w:numPr>
                <w:ilvl w:val="0"/>
                <w:numId w:val="0"/>
              </w:numPr>
            </w:pPr>
            <w:r>
              <w:t>2.1.6</w:t>
            </w:r>
          </w:p>
        </w:tc>
        <w:tc>
          <w:tcPr>
            <w:tcW w:w="5026" w:type="dxa"/>
          </w:tcPr>
          <w:p w:rsidR="00557778" w:rsidRDefault="00557778" w:rsidP="00444572">
            <w:pPr>
              <w:pStyle w:val="Pargrafo-1nvel"/>
              <w:numPr>
                <w:ilvl w:val="0"/>
                <w:numId w:val="0"/>
              </w:numPr>
            </w:pPr>
            <w:r>
              <w:t>Fornecimento de aço CA-50</w:t>
            </w:r>
          </w:p>
        </w:tc>
        <w:tc>
          <w:tcPr>
            <w:tcW w:w="1842" w:type="dxa"/>
          </w:tcPr>
          <w:p w:rsidR="00557778" w:rsidRDefault="002A6CFA" w:rsidP="003518D6">
            <w:pPr>
              <w:pStyle w:val="Pargrafo-1nvel"/>
              <w:numPr>
                <w:ilvl w:val="0"/>
                <w:numId w:val="0"/>
              </w:numPr>
              <w:jc w:val="center"/>
            </w:pPr>
            <w:r>
              <w:t>7,6%</w:t>
            </w:r>
          </w:p>
        </w:tc>
        <w:tc>
          <w:tcPr>
            <w:tcW w:w="1701" w:type="dxa"/>
          </w:tcPr>
          <w:p w:rsidR="00557778" w:rsidRDefault="00557778" w:rsidP="003518D6">
            <w:pPr>
              <w:pStyle w:val="Pargrafo-1nvel"/>
              <w:numPr>
                <w:ilvl w:val="0"/>
                <w:numId w:val="0"/>
              </w:numPr>
              <w:jc w:val="center"/>
            </w:pPr>
            <w:r>
              <w:t>40</w:t>
            </w:r>
          </w:p>
        </w:tc>
      </w:tr>
      <w:tr w:rsidR="00557778" w:rsidTr="00557778">
        <w:tc>
          <w:tcPr>
            <w:tcW w:w="1070" w:type="dxa"/>
          </w:tcPr>
          <w:p w:rsidR="00557778" w:rsidRDefault="00557778" w:rsidP="00444572">
            <w:pPr>
              <w:pStyle w:val="Pargrafo-1nvel"/>
              <w:numPr>
                <w:ilvl w:val="0"/>
                <w:numId w:val="0"/>
              </w:numPr>
            </w:pPr>
            <w:r>
              <w:t>2.1.7</w:t>
            </w:r>
          </w:p>
        </w:tc>
        <w:tc>
          <w:tcPr>
            <w:tcW w:w="5026" w:type="dxa"/>
          </w:tcPr>
          <w:p w:rsidR="00557778" w:rsidRDefault="00557778" w:rsidP="00444572">
            <w:pPr>
              <w:pStyle w:val="Pargrafo-1nvel"/>
              <w:numPr>
                <w:ilvl w:val="0"/>
                <w:numId w:val="0"/>
              </w:numPr>
            </w:pPr>
            <w:r>
              <w:t>Armação e colocação de aço CA-50</w:t>
            </w:r>
          </w:p>
        </w:tc>
        <w:tc>
          <w:tcPr>
            <w:tcW w:w="1842" w:type="dxa"/>
          </w:tcPr>
          <w:p w:rsidR="00557778" w:rsidRDefault="002A6CFA" w:rsidP="003518D6">
            <w:pPr>
              <w:pStyle w:val="Pargrafo-1nvel"/>
              <w:numPr>
                <w:ilvl w:val="0"/>
                <w:numId w:val="0"/>
              </w:numPr>
              <w:jc w:val="center"/>
            </w:pPr>
            <w:r>
              <w:t>3,0%</w:t>
            </w:r>
          </w:p>
        </w:tc>
        <w:tc>
          <w:tcPr>
            <w:tcW w:w="1701" w:type="dxa"/>
          </w:tcPr>
          <w:p w:rsidR="00557778" w:rsidRDefault="00557778" w:rsidP="003518D6">
            <w:pPr>
              <w:pStyle w:val="Pargrafo-1nvel"/>
              <w:numPr>
                <w:ilvl w:val="0"/>
                <w:numId w:val="0"/>
              </w:numPr>
              <w:jc w:val="center"/>
            </w:pPr>
            <w:r>
              <w:t>40</w:t>
            </w:r>
          </w:p>
        </w:tc>
      </w:tr>
      <w:tr w:rsidR="00557778" w:rsidTr="00557778">
        <w:tc>
          <w:tcPr>
            <w:tcW w:w="1070" w:type="dxa"/>
          </w:tcPr>
          <w:p w:rsidR="00557778" w:rsidRDefault="00557778" w:rsidP="00444572">
            <w:pPr>
              <w:pStyle w:val="Pargrafo-1nvel"/>
              <w:numPr>
                <w:ilvl w:val="0"/>
                <w:numId w:val="0"/>
              </w:numPr>
            </w:pPr>
            <w:r>
              <w:t>2.1.8</w:t>
            </w:r>
          </w:p>
        </w:tc>
        <w:tc>
          <w:tcPr>
            <w:tcW w:w="5026" w:type="dxa"/>
          </w:tcPr>
          <w:p w:rsidR="00557778" w:rsidRDefault="00557778" w:rsidP="00444572">
            <w:pPr>
              <w:pStyle w:val="Pargrafo-1nvel"/>
              <w:numPr>
                <w:ilvl w:val="0"/>
                <w:numId w:val="0"/>
              </w:numPr>
            </w:pPr>
            <w:r>
              <w:t>Fornecimento e lançamento de concreto</w:t>
            </w:r>
          </w:p>
        </w:tc>
        <w:tc>
          <w:tcPr>
            <w:tcW w:w="1842" w:type="dxa"/>
          </w:tcPr>
          <w:p w:rsidR="00557778" w:rsidRDefault="002A6CFA" w:rsidP="003518D6">
            <w:pPr>
              <w:pStyle w:val="Pargrafo-1nvel"/>
              <w:numPr>
                <w:ilvl w:val="0"/>
                <w:numId w:val="0"/>
              </w:numPr>
              <w:jc w:val="center"/>
            </w:pPr>
            <w:r>
              <w:t>11,6%</w:t>
            </w:r>
          </w:p>
        </w:tc>
        <w:tc>
          <w:tcPr>
            <w:tcW w:w="1701" w:type="dxa"/>
          </w:tcPr>
          <w:p w:rsidR="00557778" w:rsidRDefault="00557778" w:rsidP="003518D6">
            <w:pPr>
              <w:pStyle w:val="Pargrafo-1nvel"/>
              <w:numPr>
                <w:ilvl w:val="0"/>
                <w:numId w:val="0"/>
              </w:numPr>
              <w:jc w:val="center"/>
            </w:pPr>
            <w:r>
              <w:t>40</w:t>
            </w:r>
          </w:p>
        </w:tc>
      </w:tr>
      <w:tr w:rsidR="00557778" w:rsidTr="00557778">
        <w:tc>
          <w:tcPr>
            <w:tcW w:w="1070" w:type="dxa"/>
          </w:tcPr>
          <w:p w:rsidR="00557778" w:rsidRDefault="00557778" w:rsidP="00444572">
            <w:pPr>
              <w:pStyle w:val="Pargrafo-1nvel"/>
              <w:numPr>
                <w:ilvl w:val="0"/>
                <w:numId w:val="0"/>
              </w:numPr>
            </w:pPr>
            <w:r>
              <w:t>2.1.9</w:t>
            </w:r>
          </w:p>
        </w:tc>
        <w:tc>
          <w:tcPr>
            <w:tcW w:w="5026" w:type="dxa"/>
          </w:tcPr>
          <w:p w:rsidR="00557778" w:rsidRDefault="00557778" w:rsidP="00444572">
            <w:pPr>
              <w:pStyle w:val="Pargrafo-1nvel"/>
              <w:numPr>
                <w:ilvl w:val="0"/>
                <w:numId w:val="0"/>
              </w:numPr>
            </w:pPr>
            <w:r>
              <w:t>Arrasamento das estacas</w:t>
            </w:r>
          </w:p>
        </w:tc>
        <w:tc>
          <w:tcPr>
            <w:tcW w:w="1842" w:type="dxa"/>
          </w:tcPr>
          <w:p w:rsidR="00557778" w:rsidRDefault="002A6CFA" w:rsidP="003518D6">
            <w:pPr>
              <w:pStyle w:val="Pargrafo-1nvel"/>
              <w:numPr>
                <w:ilvl w:val="0"/>
                <w:numId w:val="0"/>
              </w:numPr>
              <w:jc w:val="center"/>
            </w:pPr>
            <w:r>
              <w:t>0,2%</w:t>
            </w:r>
          </w:p>
        </w:tc>
        <w:tc>
          <w:tcPr>
            <w:tcW w:w="1701" w:type="dxa"/>
          </w:tcPr>
          <w:p w:rsidR="00557778" w:rsidRDefault="00557778" w:rsidP="003518D6">
            <w:pPr>
              <w:pStyle w:val="Pargrafo-1nvel"/>
              <w:numPr>
                <w:ilvl w:val="0"/>
                <w:numId w:val="0"/>
              </w:numPr>
              <w:jc w:val="center"/>
            </w:pPr>
            <w:r>
              <w:t>40</w:t>
            </w:r>
          </w:p>
        </w:tc>
      </w:tr>
      <w:tr w:rsidR="00557778" w:rsidTr="00557778">
        <w:tc>
          <w:tcPr>
            <w:tcW w:w="1070" w:type="dxa"/>
          </w:tcPr>
          <w:p w:rsidR="00557778" w:rsidRDefault="00557778" w:rsidP="00444572">
            <w:pPr>
              <w:pStyle w:val="Pargrafo-1nvel"/>
              <w:numPr>
                <w:ilvl w:val="0"/>
                <w:numId w:val="0"/>
              </w:numPr>
            </w:pPr>
            <w:r>
              <w:t>2.1.10</w:t>
            </w:r>
          </w:p>
        </w:tc>
        <w:tc>
          <w:tcPr>
            <w:tcW w:w="5026" w:type="dxa"/>
          </w:tcPr>
          <w:p w:rsidR="00557778" w:rsidRDefault="00557778" w:rsidP="00444572">
            <w:pPr>
              <w:pStyle w:val="Pargrafo-1nvel"/>
              <w:numPr>
                <w:ilvl w:val="0"/>
                <w:numId w:val="0"/>
              </w:numPr>
            </w:pPr>
            <w:r>
              <w:t>Provas de cargas dinâmicas</w:t>
            </w:r>
          </w:p>
        </w:tc>
        <w:tc>
          <w:tcPr>
            <w:tcW w:w="1842" w:type="dxa"/>
          </w:tcPr>
          <w:p w:rsidR="00557778" w:rsidRDefault="002A6CFA" w:rsidP="003518D6">
            <w:pPr>
              <w:pStyle w:val="Pargrafo-1nvel"/>
              <w:numPr>
                <w:ilvl w:val="0"/>
                <w:numId w:val="0"/>
              </w:numPr>
              <w:jc w:val="center"/>
            </w:pPr>
            <w:r>
              <w:t>1,8%</w:t>
            </w:r>
          </w:p>
        </w:tc>
        <w:tc>
          <w:tcPr>
            <w:tcW w:w="1701" w:type="dxa"/>
          </w:tcPr>
          <w:p w:rsidR="00557778" w:rsidRDefault="00557778" w:rsidP="003518D6">
            <w:pPr>
              <w:pStyle w:val="Pargrafo-1nvel"/>
              <w:numPr>
                <w:ilvl w:val="0"/>
                <w:numId w:val="0"/>
              </w:numPr>
              <w:jc w:val="center"/>
            </w:pPr>
            <w:r>
              <w:t>40</w:t>
            </w:r>
          </w:p>
        </w:tc>
      </w:tr>
    </w:tbl>
    <w:p w:rsidR="00F970B3" w:rsidRDefault="003A5AE3" w:rsidP="003A5AE3">
      <w:pPr>
        <w:pStyle w:val="Ttulononumerado-1nvel"/>
        <w:rPr>
          <w:caps w:val="0"/>
        </w:rPr>
      </w:pPr>
      <w:r>
        <w:rPr>
          <w:caps w:val="0"/>
        </w:rPr>
        <w:t xml:space="preserve">II. </w:t>
      </w:r>
      <w:r w:rsidR="00F970B3">
        <w:rPr>
          <w:caps w:val="0"/>
        </w:rPr>
        <w:t xml:space="preserve">Recursos de reconsideração </w:t>
      </w:r>
      <w:r w:rsidR="00731F30" w:rsidRPr="00731F30">
        <w:rPr>
          <w:caps w:val="0"/>
        </w:rPr>
        <w:t xml:space="preserve">apresentados em 11/6/2008 </w:t>
      </w:r>
      <w:r w:rsidR="00731F30">
        <w:rPr>
          <w:caps w:val="0"/>
        </w:rPr>
        <w:t>pelos responsáveis,</w:t>
      </w:r>
      <w:r w:rsidR="00F970B3">
        <w:rPr>
          <w:caps w:val="0"/>
        </w:rPr>
        <w:t xml:space="preserve"> Srs. </w:t>
      </w:r>
      <w:r w:rsidR="00F970B3" w:rsidRPr="00F970B3">
        <w:rPr>
          <w:caps w:val="0"/>
        </w:rPr>
        <w:t>Rubens de Siqueira Júnior, Emerson Fernandes Daniel Júnior e José Jackson Queiroga de Morais</w:t>
      </w:r>
      <w:r w:rsidR="00E23484">
        <w:rPr>
          <w:caps w:val="0"/>
        </w:rPr>
        <w:t xml:space="preserve"> </w:t>
      </w:r>
      <w:r w:rsidR="00731F30">
        <w:rPr>
          <w:caps w:val="0"/>
        </w:rPr>
        <w:t>(Anexos I, II e III)</w:t>
      </w:r>
    </w:p>
    <w:p w:rsidR="00F970B3" w:rsidRPr="00041081" w:rsidRDefault="00041081" w:rsidP="00041081">
      <w:pPr>
        <w:pStyle w:val="Pargrafo-1nvel"/>
      </w:pPr>
      <w:r>
        <w:t>Os três membros da Comissã</w:t>
      </w:r>
      <w:r w:rsidR="005003BF">
        <w:t xml:space="preserve">o de Fiscalização do Contrato </w:t>
      </w:r>
      <w:r>
        <w:t>6/99 apresentaram recursos separados, mas com idêntico teor de mérito, constituindo-se as três peças</w:t>
      </w:r>
      <w:r w:rsidR="00E14DC1">
        <w:t>,</w:t>
      </w:r>
      <w:r>
        <w:t xml:space="preserve"> em sua quase totalidade</w:t>
      </w:r>
      <w:r w:rsidR="00E14DC1">
        <w:t>, de</w:t>
      </w:r>
      <w:r>
        <w:t xml:space="preserve"> cópias </w:t>
      </w:r>
      <w:r w:rsidRPr="00041081">
        <w:rPr>
          <w:i/>
        </w:rPr>
        <w:t>ipsis literis</w:t>
      </w:r>
      <w:r>
        <w:t>, com pequenas variações pontuais.</w:t>
      </w:r>
    </w:p>
    <w:p w:rsidR="00F970B3" w:rsidRPr="00F970B3" w:rsidRDefault="00F970B3" w:rsidP="00F970B3">
      <w:pPr>
        <w:pStyle w:val="Ttulononumerado-1nvel"/>
        <w:rPr>
          <w:b w:val="0"/>
          <w:caps w:val="0"/>
          <w:u w:val="single"/>
        </w:rPr>
      </w:pPr>
      <w:r w:rsidRPr="003A5AE3">
        <w:rPr>
          <w:b w:val="0"/>
          <w:caps w:val="0"/>
          <w:u w:val="single"/>
        </w:rPr>
        <w:t>II.</w:t>
      </w:r>
      <w:r w:rsidR="003A5AE3" w:rsidRPr="003A5AE3">
        <w:rPr>
          <w:b w:val="0"/>
          <w:caps w:val="0"/>
          <w:u w:val="single"/>
        </w:rPr>
        <w:t xml:space="preserve">1. </w:t>
      </w:r>
      <w:r w:rsidRPr="003A5AE3">
        <w:rPr>
          <w:b w:val="0"/>
          <w:caps w:val="0"/>
          <w:u w:val="single"/>
        </w:rPr>
        <w:t>Argumentos</w:t>
      </w:r>
      <w:r w:rsidR="00041081">
        <w:rPr>
          <w:b w:val="0"/>
          <w:caps w:val="0"/>
          <w:u w:val="single"/>
        </w:rPr>
        <w:t xml:space="preserve"> referentes às questões de engenharia</w:t>
      </w:r>
    </w:p>
    <w:p w:rsidR="00CA5C22" w:rsidRDefault="0065600D" w:rsidP="005847EA">
      <w:pPr>
        <w:pStyle w:val="Pargrafo-1nvel"/>
      </w:pPr>
      <w:r>
        <w:t>Os recorrentes alegam que optaram pela coluna 40 para o reajustamento do subitem 2.1 devido às suas características e não por ser o de maior variação</w:t>
      </w:r>
      <w:r w:rsidR="005847EA">
        <w:t>.</w:t>
      </w:r>
      <w:r>
        <w:t xml:space="preserve"> Alegam inclusive, que de julho de 2001 a </w:t>
      </w:r>
      <w:r w:rsidR="00CA5C22">
        <w:t>março de 2008, a variação do índice da coluna 41 foi superior ao da coluna 40.</w:t>
      </w:r>
    </w:p>
    <w:p w:rsidR="005847EA" w:rsidRDefault="00CA5C22" w:rsidP="005847EA">
      <w:pPr>
        <w:pStyle w:val="Pargrafo-1nvel"/>
      </w:pPr>
      <w:r>
        <w:t xml:space="preserve">Em seguida, os responsáveis enumeram razões pelas quais </w:t>
      </w:r>
      <w:r w:rsidR="003A5AE3">
        <w:t>o</w:t>
      </w:r>
      <w:r>
        <w:t xml:space="preserve"> índice da coluna 40</w:t>
      </w:r>
      <w:r w:rsidR="003A5AE3">
        <w:t xml:space="preserve"> seria </w:t>
      </w:r>
      <w:r w:rsidR="00380F62">
        <w:t xml:space="preserve">o </w:t>
      </w:r>
      <w:r w:rsidR="003A5AE3">
        <w:t>adequado para o reajustamento</w:t>
      </w:r>
      <w:r w:rsidR="00380F62">
        <w:t>, em discordância com o apontado na instrução da Secob</w:t>
      </w:r>
      <w:r>
        <w:t>:</w:t>
      </w:r>
    </w:p>
    <w:p w:rsidR="00CA5C22" w:rsidRDefault="00054EBF" w:rsidP="007D7BB9">
      <w:pPr>
        <w:pStyle w:val="Pargrafo-1nvel"/>
        <w:numPr>
          <w:ilvl w:val="3"/>
          <w:numId w:val="6"/>
        </w:numPr>
        <w:ind w:left="1134"/>
      </w:pPr>
      <w:r>
        <w:t xml:space="preserve">Devido </w:t>
      </w:r>
      <w:r w:rsidR="00380F62">
        <w:t>à</w:t>
      </w:r>
      <w:r>
        <w:t xml:space="preserve"> cravação de estacas a grandes profundidades, a utilização de formas de madeira </w:t>
      </w:r>
      <w:r w:rsidR="00380F62">
        <w:t xml:space="preserve">na obra </w:t>
      </w:r>
      <w:r>
        <w:t>seria não usual.</w:t>
      </w:r>
    </w:p>
    <w:p w:rsidR="00054EBF" w:rsidRDefault="00380F62" w:rsidP="007D7BB9">
      <w:pPr>
        <w:pStyle w:val="Pargrafo-1nvel"/>
        <w:numPr>
          <w:ilvl w:val="3"/>
          <w:numId w:val="6"/>
        </w:numPr>
        <w:spacing w:before="60"/>
        <w:ind w:left="1134"/>
      </w:pPr>
      <w:r>
        <w:t xml:space="preserve">O subitem 2.1.3 – Cravação de estacas e contraventamento – não deveria ser inerente apenas à fundação metálica, pois esses serviços ocorrem também quando da utilização de estacas de concreto pré-moldado. </w:t>
      </w:r>
      <w:r w:rsidR="00E67AFE">
        <w:t>Também haveria sido desconsiderada</w:t>
      </w:r>
      <w:r w:rsidR="000E7FF2">
        <w:t>,</w:t>
      </w:r>
      <w:r w:rsidR="00E67AFE">
        <w:t xml:space="preserve"> </w:t>
      </w:r>
      <w:r w:rsidR="000E7FF2">
        <w:t xml:space="preserve">pela Secob, </w:t>
      </w:r>
      <w:r w:rsidR="00E67AFE">
        <w:t>a utilização de qualquer tipo de forma no serviço.</w:t>
      </w:r>
    </w:p>
    <w:p w:rsidR="00E67AFE" w:rsidRDefault="00E67AFE" w:rsidP="007D7BB9">
      <w:pPr>
        <w:pStyle w:val="Pargrafo-1nvel"/>
        <w:numPr>
          <w:ilvl w:val="3"/>
          <w:numId w:val="6"/>
        </w:numPr>
        <w:spacing w:before="60"/>
        <w:ind w:left="1134"/>
      </w:pPr>
      <w:r>
        <w:t>Desta forma, a representatividade da estrutura metálica no subitem 2.1 ficaria reduzida a 49,65% do total, referente apenas aos subitens 2.1.1 e 2.1.2.</w:t>
      </w:r>
      <w:r w:rsidR="005003BF">
        <w:t xml:space="preserve"> (Observação: possivelmente os recorrentes estejam considerando a planilha original do contrato, anterior às modificações introduzidas pelos termos aditivos)</w:t>
      </w:r>
    </w:p>
    <w:p w:rsidR="00E67AFE" w:rsidRDefault="00E67AFE" w:rsidP="007D7BB9">
      <w:pPr>
        <w:pStyle w:val="Pargrafo-1nvel"/>
        <w:numPr>
          <w:ilvl w:val="3"/>
          <w:numId w:val="6"/>
        </w:numPr>
        <w:spacing w:before="60"/>
        <w:ind w:left="1134"/>
      </w:pPr>
      <w:r>
        <w:t xml:space="preserve">Para demonstrar que tal </w:t>
      </w:r>
      <w:r w:rsidR="00BC2D10">
        <w:t>percentagem seria semelhante à utilização de forma de madeira</w:t>
      </w:r>
      <w:r>
        <w:t xml:space="preserve">, os recorrentes apresentaram a </w:t>
      </w:r>
      <w:r w:rsidR="00BC2D10">
        <w:t>composição simplificada de custos do concreto armado fck=15 MPa, publicada pela Editora Pini, para</w:t>
      </w:r>
      <w:r>
        <w:t xml:space="preserve"> </w:t>
      </w:r>
      <w:r w:rsidR="00BC2D10">
        <w:t>o Estado do Ceará. Segundo a citada referência, os custos da forma de madeira corresponderiam a 39,46% do total do serviço</w:t>
      </w:r>
      <w:r w:rsidR="000E7FF2">
        <w:t>, próximo à percentagem de 49,65%.</w:t>
      </w:r>
    </w:p>
    <w:p w:rsidR="00BC2D10" w:rsidRDefault="000E7FF2" w:rsidP="007D7BB9">
      <w:pPr>
        <w:pStyle w:val="Pargrafo-1nvel"/>
        <w:numPr>
          <w:ilvl w:val="3"/>
          <w:numId w:val="6"/>
        </w:numPr>
        <w:spacing w:before="60"/>
        <w:ind w:left="1134"/>
      </w:pPr>
      <w:r>
        <w:t>Logo, se fosse possível a utilização da forma de madeira, não deveria haver a separação proposta dos serviços constantes do subitem 2.1 da planilha, entre aqueles sujeitos à correção pela coluna 40 e aqueles afeitos à coluna 41.</w:t>
      </w:r>
    </w:p>
    <w:p w:rsidR="006B3E12" w:rsidRDefault="00DF354A" w:rsidP="00CD117B">
      <w:pPr>
        <w:pStyle w:val="Pargrafo-1nvel"/>
      </w:pPr>
      <w:r>
        <w:lastRenderedPageBreak/>
        <w:t>Continuam os recorrentes</w:t>
      </w:r>
      <w:r w:rsidR="000E7FF2">
        <w:t xml:space="preserve"> reforçando que não teria ocorrido a alteração indevida de índices de reajustamento de preço, pois tanto a Codern quanto a Comissão de Fiscalização</w:t>
      </w:r>
      <w:r w:rsidR="00C02968">
        <w:t xml:space="preserve"> apenas teriam seguido o estabelecido no contrato em tela. Não constaria no edital de licitação ou no contrato a especificação de qual coluna utilizar, des</w:t>
      </w:r>
      <w:r w:rsidR="007D7BB9">
        <w:t>s</w:t>
      </w:r>
      <w:r w:rsidR="00C02968">
        <w:t>a forma, a comissão teria escolhido, baseando-se em critérios técnicos, a</w:t>
      </w:r>
      <w:r w:rsidR="005D4389">
        <w:t>quela</w:t>
      </w:r>
      <w:r w:rsidR="00C02968">
        <w:t xml:space="preserve"> adequada à situação, sendo descabido </w:t>
      </w:r>
      <w:r w:rsidR="00000586">
        <w:t>falar em alteração de índices.</w:t>
      </w:r>
    </w:p>
    <w:p w:rsidR="00C02968" w:rsidRDefault="00000586" w:rsidP="00CD117B">
      <w:pPr>
        <w:pStyle w:val="Pargrafo-1nvel"/>
      </w:pPr>
      <w:r>
        <w:t>Argumentam ainda que o cálculo do índice de variação de um determinado item de construção partiria principalmente da análise de seu uso e de sua utilidade. Lembraram que a própria Secob afirmou que o elemento de fundação analisado se comportaria como uma peça de concreto armado. Logo, esse tipo de serviço deveria ser reajustado "com a utilização de uma coluna criada exclusivamente para esse fim", pois já estariam sendo contemplados, de forma ponderada, "todos os insumos necessários à sua preparação, fabricação, equipamentos e transporte".</w:t>
      </w:r>
    </w:p>
    <w:p w:rsidR="00000586" w:rsidRDefault="00B9116C" w:rsidP="00CD117B">
      <w:pPr>
        <w:pStyle w:val="Pargrafo-1nvel"/>
      </w:pPr>
      <w:r>
        <w:t>Para corroborar os entendimentos acima firmados, os recorrentes juntaram aos autos parecer elaborado pelo Eng. Paulo Roberto Vilela Dias, presidente do IBEC – Instituto Brasileiro de Engenharia de Custos – e ofício emitido pelo Eng. Francisco Adalberto Pessoa de Carvalho,</w:t>
      </w:r>
      <w:r w:rsidR="00D64183">
        <w:t xml:space="preserve"> presidente do CREA/RN – Conselho Regional de Engenharia, Arquitetura e Agronomia do Rio Grande do Norte –, q</w:t>
      </w:r>
      <w:r>
        <w:t>ue serão detalhados mais adiante.</w:t>
      </w:r>
    </w:p>
    <w:p w:rsidR="00793BBE" w:rsidRDefault="00793BBE" w:rsidP="00CD117B">
      <w:pPr>
        <w:pStyle w:val="Pargrafo-1nvel"/>
      </w:pPr>
      <w:r>
        <w:t>Os recor</w:t>
      </w:r>
      <w:r w:rsidR="00DF354A">
        <w:t>rentes continuam suas alegações</w:t>
      </w:r>
      <w:r>
        <w:t xml:space="preserve"> informando que as formas de madeira estariam caindo em desuso, sendo substituídas cada vez mais por componentes metálicos. Repisam que não se poderia eliminar a forma da composição do </w:t>
      </w:r>
      <w:r w:rsidR="00D64183">
        <w:t>serviço</w:t>
      </w:r>
      <w:r>
        <w:t xml:space="preserve"> concreto</w:t>
      </w:r>
      <w:r w:rsidR="00D64183">
        <w:t xml:space="preserve"> armado</w:t>
      </w:r>
      <w:r>
        <w:t>.</w:t>
      </w:r>
    </w:p>
    <w:p w:rsidR="00793BBE" w:rsidRDefault="00793BBE" w:rsidP="00CD117B">
      <w:pPr>
        <w:pStyle w:val="Pargrafo-1nvel"/>
      </w:pPr>
      <w:r>
        <w:t>Buscam ainda comparar a situação do presente caso com o da obra do Porto de Maceió/AL</w:t>
      </w:r>
      <w:r w:rsidR="00A202D5">
        <w:t xml:space="preserve"> (TC 005.849/2002-4)</w:t>
      </w:r>
      <w:r w:rsidR="00D64183">
        <w:t>, também fiscalizada pela Codern, em que, em situação semelhante, o TCU teria acatado o reajustamento pelo índice ora questionado.</w:t>
      </w:r>
    </w:p>
    <w:p w:rsidR="00D64183" w:rsidRDefault="00D64183" w:rsidP="00257EB8">
      <w:pPr>
        <w:pStyle w:val="Pargrafo-1nvel"/>
        <w:spacing w:after="120"/>
      </w:pPr>
      <w:r>
        <w:t>Apresentam a tabela comparativa de custos dos dois casos em comento, abaixo reproduzida</w:t>
      </w:r>
      <w:r w:rsidR="00257EB8">
        <w:t xml:space="preserve"> de forma resumida (apenas com os percentuais)</w:t>
      </w:r>
      <w:r>
        <w:t>:</w:t>
      </w:r>
    </w:p>
    <w:tbl>
      <w:tblPr>
        <w:tblStyle w:val="Tabelacomgrade"/>
        <w:tblW w:w="9639" w:type="dxa"/>
        <w:tblInd w:w="108" w:type="dxa"/>
        <w:tblLayout w:type="fixed"/>
        <w:tblLook w:val="04A0" w:firstRow="1" w:lastRow="0" w:firstColumn="1" w:lastColumn="0" w:noHBand="0" w:noVBand="1"/>
      </w:tblPr>
      <w:tblGrid>
        <w:gridCol w:w="709"/>
        <w:gridCol w:w="6096"/>
        <w:gridCol w:w="1417"/>
        <w:gridCol w:w="1417"/>
      </w:tblGrid>
      <w:tr w:rsidR="00257EB8" w:rsidRPr="00A202D5" w:rsidTr="00A202D5">
        <w:tc>
          <w:tcPr>
            <w:tcW w:w="709" w:type="dxa"/>
          </w:tcPr>
          <w:p w:rsidR="00257EB8" w:rsidRPr="00A202D5" w:rsidRDefault="00257EB8" w:rsidP="00257EB8">
            <w:pPr>
              <w:pStyle w:val="Pargrafo-1nvel"/>
              <w:numPr>
                <w:ilvl w:val="0"/>
                <w:numId w:val="0"/>
              </w:numPr>
              <w:rPr>
                <w:b/>
              </w:rPr>
            </w:pPr>
            <w:r w:rsidRPr="00A202D5">
              <w:rPr>
                <w:b/>
              </w:rPr>
              <w:t>Item</w:t>
            </w:r>
          </w:p>
        </w:tc>
        <w:tc>
          <w:tcPr>
            <w:tcW w:w="6096" w:type="dxa"/>
          </w:tcPr>
          <w:p w:rsidR="00257EB8" w:rsidRPr="00A202D5" w:rsidRDefault="00257EB8" w:rsidP="00A202D5">
            <w:pPr>
              <w:pStyle w:val="Pargrafo-1nvel"/>
              <w:numPr>
                <w:ilvl w:val="0"/>
                <w:numId w:val="0"/>
              </w:numPr>
              <w:rPr>
                <w:b/>
              </w:rPr>
            </w:pPr>
            <w:r w:rsidRPr="00A202D5">
              <w:rPr>
                <w:b/>
              </w:rPr>
              <w:t xml:space="preserve">Serviços incluídos </w:t>
            </w:r>
            <w:r w:rsidR="00A202D5" w:rsidRPr="00A202D5">
              <w:rPr>
                <w:b/>
              </w:rPr>
              <w:t>nos custos d</w:t>
            </w:r>
            <w:r w:rsidRPr="00A202D5">
              <w:rPr>
                <w:b/>
              </w:rPr>
              <w:t>as fundações</w:t>
            </w:r>
            <w:r w:rsidR="00A202D5" w:rsidRPr="00A202D5">
              <w:rPr>
                <w:b/>
              </w:rPr>
              <w:t xml:space="preserve"> em estacas</w:t>
            </w:r>
          </w:p>
        </w:tc>
        <w:tc>
          <w:tcPr>
            <w:tcW w:w="1417" w:type="dxa"/>
          </w:tcPr>
          <w:p w:rsidR="00257EB8" w:rsidRPr="00A202D5" w:rsidRDefault="00257EB8" w:rsidP="00257EB8">
            <w:pPr>
              <w:pStyle w:val="Pargrafo-1nvel"/>
              <w:numPr>
                <w:ilvl w:val="0"/>
                <w:numId w:val="0"/>
              </w:numPr>
              <w:rPr>
                <w:b/>
              </w:rPr>
            </w:pPr>
            <w:r w:rsidRPr="00A202D5">
              <w:rPr>
                <w:b/>
              </w:rPr>
              <w:t>Porto de Maceió</w:t>
            </w:r>
          </w:p>
        </w:tc>
        <w:tc>
          <w:tcPr>
            <w:tcW w:w="1417" w:type="dxa"/>
          </w:tcPr>
          <w:p w:rsidR="00257EB8" w:rsidRPr="00A202D5" w:rsidRDefault="00257EB8" w:rsidP="00257EB8">
            <w:pPr>
              <w:pStyle w:val="Pargrafo-1nvel"/>
              <w:numPr>
                <w:ilvl w:val="0"/>
                <w:numId w:val="0"/>
              </w:numPr>
              <w:rPr>
                <w:b/>
              </w:rPr>
            </w:pPr>
            <w:r w:rsidRPr="00A202D5">
              <w:rPr>
                <w:b/>
              </w:rPr>
              <w:t>Porto de Natal</w:t>
            </w:r>
          </w:p>
        </w:tc>
      </w:tr>
      <w:tr w:rsidR="00257EB8" w:rsidTr="00A202D5">
        <w:tc>
          <w:tcPr>
            <w:tcW w:w="709" w:type="dxa"/>
          </w:tcPr>
          <w:p w:rsidR="00257EB8" w:rsidRDefault="00257EB8" w:rsidP="00257EB8">
            <w:pPr>
              <w:pStyle w:val="Pargrafo-1nvel"/>
              <w:numPr>
                <w:ilvl w:val="0"/>
                <w:numId w:val="0"/>
              </w:numPr>
            </w:pPr>
            <w:r>
              <w:t>1</w:t>
            </w:r>
          </w:p>
        </w:tc>
        <w:tc>
          <w:tcPr>
            <w:tcW w:w="6096" w:type="dxa"/>
          </w:tcPr>
          <w:p w:rsidR="00257EB8" w:rsidRDefault="00257EB8" w:rsidP="00257EB8">
            <w:pPr>
              <w:pStyle w:val="Pargrafo-1nvel"/>
              <w:numPr>
                <w:ilvl w:val="0"/>
                <w:numId w:val="0"/>
              </w:numPr>
            </w:pPr>
            <w:r>
              <w:t>Formas/camisas metálicas</w:t>
            </w:r>
          </w:p>
        </w:tc>
        <w:tc>
          <w:tcPr>
            <w:tcW w:w="1417" w:type="dxa"/>
          </w:tcPr>
          <w:p w:rsidR="00257EB8" w:rsidRDefault="00257EB8" w:rsidP="00257EB8">
            <w:pPr>
              <w:pStyle w:val="Pargrafo-1nvel"/>
              <w:numPr>
                <w:ilvl w:val="0"/>
                <w:numId w:val="0"/>
              </w:numPr>
            </w:pPr>
            <w:r>
              <w:t>28,52%</w:t>
            </w:r>
          </w:p>
        </w:tc>
        <w:tc>
          <w:tcPr>
            <w:tcW w:w="1417" w:type="dxa"/>
          </w:tcPr>
          <w:p w:rsidR="00257EB8" w:rsidRDefault="00257EB8" w:rsidP="00257EB8">
            <w:pPr>
              <w:pStyle w:val="Pargrafo-1nvel"/>
              <w:numPr>
                <w:ilvl w:val="0"/>
                <w:numId w:val="0"/>
              </w:numPr>
            </w:pPr>
            <w:r>
              <w:t>48,50%</w:t>
            </w:r>
          </w:p>
        </w:tc>
      </w:tr>
      <w:tr w:rsidR="00257EB8" w:rsidTr="00A202D5">
        <w:tc>
          <w:tcPr>
            <w:tcW w:w="709" w:type="dxa"/>
          </w:tcPr>
          <w:p w:rsidR="00257EB8" w:rsidRDefault="00257EB8" w:rsidP="00257EB8">
            <w:pPr>
              <w:pStyle w:val="Pargrafo-1nvel"/>
              <w:numPr>
                <w:ilvl w:val="0"/>
                <w:numId w:val="0"/>
              </w:numPr>
            </w:pPr>
            <w:r>
              <w:t>2</w:t>
            </w:r>
          </w:p>
        </w:tc>
        <w:tc>
          <w:tcPr>
            <w:tcW w:w="6096" w:type="dxa"/>
          </w:tcPr>
          <w:p w:rsidR="00257EB8" w:rsidRDefault="00257EB8" w:rsidP="00257EB8">
            <w:pPr>
              <w:pStyle w:val="Pargrafo-1nvel"/>
              <w:numPr>
                <w:ilvl w:val="0"/>
                <w:numId w:val="0"/>
              </w:numPr>
            </w:pPr>
            <w:r>
              <w:t>Chapa calandrada com chumbador</w:t>
            </w:r>
          </w:p>
        </w:tc>
        <w:tc>
          <w:tcPr>
            <w:tcW w:w="1417" w:type="dxa"/>
          </w:tcPr>
          <w:p w:rsidR="00257EB8" w:rsidRDefault="00257EB8" w:rsidP="00257EB8">
            <w:pPr>
              <w:pStyle w:val="Pargrafo-1nvel"/>
              <w:numPr>
                <w:ilvl w:val="0"/>
                <w:numId w:val="0"/>
              </w:numPr>
            </w:pPr>
            <w:r>
              <w:t>1,15%</w:t>
            </w:r>
          </w:p>
        </w:tc>
        <w:tc>
          <w:tcPr>
            <w:tcW w:w="1417" w:type="dxa"/>
          </w:tcPr>
          <w:p w:rsidR="00257EB8" w:rsidRDefault="00257EB8" w:rsidP="00257EB8">
            <w:pPr>
              <w:pStyle w:val="Pargrafo-1nvel"/>
              <w:numPr>
                <w:ilvl w:val="0"/>
                <w:numId w:val="0"/>
              </w:numPr>
            </w:pPr>
          </w:p>
        </w:tc>
      </w:tr>
      <w:tr w:rsidR="00257EB8" w:rsidTr="00A202D5">
        <w:tc>
          <w:tcPr>
            <w:tcW w:w="709" w:type="dxa"/>
          </w:tcPr>
          <w:p w:rsidR="00257EB8" w:rsidRDefault="00257EB8" w:rsidP="00257EB8">
            <w:pPr>
              <w:pStyle w:val="Pargrafo-1nvel"/>
              <w:numPr>
                <w:ilvl w:val="0"/>
                <w:numId w:val="0"/>
              </w:numPr>
            </w:pPr>
            <w:r>
              <w:t>3</w:t>
            </w:r>
          </w:p>
        </w:tc>
        <w:tc>
          <w:tcPr>
            <w:tcW w:w="6096" w:type="dxa"/>
          </w:tcPr>
          <w:p w:rsidR="00257EB8" w:rsidRDefault="00257EB8" w:rsidP="00257EB8">
            <w:pPr>
              <w:pStyle w:val="Pargrafo-1nvel"/>
              <w:numPr>
                <w:ilvl w:val="0"/>
                <w:numId w:val="0"/>
              </w:numPr>
            </w:pPr>
            <w:r>
              <w:t>Cravação e movimentação incluindo contraventamento</w:t>
            </w:r>
          </w:p>
        </w:tc>
        <w:tc>
          <w:tcPr>
            <w:tcW w:w="1417" w:type="dxa"/>
          </w:tcPr>
          <w:p w:rsidR="00257EB8" w:rsidRDefault="00257EB8" w:rsidP="00257EB8">
            <w:pPr>
              <w:pStyle w:val="Pargrafo-1nvel"/>
              <w:numPr>
                <w:ilvl w:val="0"/>
                <w:numId w:val="0"/>
              </w:numPr>
            </w:pPr>
            <w:r>
              <w:t>16,61%</w:t>
            </w:r>
          </w:p>
        </w:tc>
        <w:tc>
          <w:tcPr>
            <w:tcW w:w="1417" w:type="dxa"/>
          </w:tcPr>
          <w:p w:rsidR="00257EB8" w:rsidRDefault="00257EB8" w:rsidP="00257EB8">
            <w:pPr>
              <w:pStyle w:val="Pargrafo-1nvel"/>
              <w:numPr>
                <w:ilvl w:val="0"/>
                <w:numId w:val="0"/>
              </w:numPr>
            </w:pPr>
            <w:r>
              <w:t>23,73%</w:t>
            </w:r>
          </w:p>
        </w:tc>
      </w:tr>
      <w:tr w:rsidR="00257EB8" w:rsidTr="00A202D5">
        <w:tc>
          <w:tcPr>
            <w:tcW w:w="709" w:type="dxa"/>
          </w:tcPr>
          <w:p w:rsidR="00257EB8" w:rsidRDefault="00257EB8" w:rsidP="00257EB8">
            <w:pPr>
              <w:pStyle w:val="Pargrafo-1nvel"/>
              <w:numPr>
                <w:ilvl w:val="0"/>
                <w:numId w:val="0"/>
              </w:numPr>
            </w:pPr>
            <w:r>
              <w:t>4</w:t>
            </w:r>
          </w:p>
        </w:tc>
        <w:tc>
          <w:tcPr>
            <w:tcW w:w="6096" w:type="dxa"/>
          </w:tcPr>
          <w:p w:rsidR="00257EB8" w:rsidRDefault="00257EB8" w:rsidP="00257EB8">
            <w:pPr>
              <w:pStyle w:val="Pargrafo-1nvel"/>
              <w:numPr>
                <w:ilvl w:val="0"/>
                <w:numId w:val="0"/>
              </w:numPr>
            </w:pPr>
            <w:r>
              <w:t>Aço duro para protensão</w:t>
            </w:r>
          </w:p>
        </w:tc>
        <w:tc>
          <w:tcPr>
            <w:tcW w:w="1417" w:type="dxa"/>
          </w:tcPr>
          <w:p w:rsidR="00257EB8" w:rsidRDefault="00257EB8" w:rsidP="00257EB8">
            <w:pPr>
              <w:pStyle w:val="Pargrafo-1nvel"/>
              <w:numPr>
                <w:ilvl w:val="0"/>
                <w:numId w:val="0"/>
              </w:numPr>
            </w:pPr>
            <w:r>
              <w:t>15,92%</w:t>
            </w:r>
          </w:p>
        </w:tc>
        <w:tc>
          <w:tcPr>
            <w:tcW w:w="1417" w:type="dxa"/>
          </w:tcPr>
          <w:p w:rsidR="00257EB8" w:rsidRDefault="00257EB8" w:rsidP="00257EB8">
            <w:pPr>
              <w:pStyle w:val="Pargrafo-1nvel"/>
              <w:numPr>
                <w:ilvl w:val="0"/>
                <w:numId w:val="0"/>
              </w:numPr>
            </w:pPr>
          </w:p>
        </w:tc>
      </w:tr>
      <w:tr w:rsidR="00257EB8" w:rsidTr="00A202D5">
        <w:tc>
          <w:tcPr>
            <w:tcW w:w="709" w:type="dxa"/>
          </w:tcPr>
          <w:p w:rsidR="00257EB8" w:rsidRDefault="00257EB8" w:rsidP="00257EB8">
            <w:pPr>
              <w:pStyle w:val="Pargrafo-1nvel"/>
              <w:numPr>
                <w:ilvl w:val="0"/>
                <w:numId w:val="0"/>
              </w:numPr>
            </w:pPr>
            <w:r>
              <w:t>5</w:t>
            </w:r>
          </w:p>
        </w:tc>
        <w:tc>
          <w:tcPr>
            <w:tcW w:w="6096" w:type="dxa"/>
          </w:tcPr>
          <w:p w:rsidR="00257EB8" w:rsidRDefault="00257EB8" w:rsidP="00257EB8">
            <w:pPr>
              <w:pStyle w:val="Pargrafo-1nvel"/>
              <w:numPr>
                <w:ilvl w:val="0"/>
                <w:numId w:val="0"/>
              </w:numPr>
            </w:pPr>
            <w:r>
              <w:t>Fornecimento e colocação do aço CA-50</w:t>
            </w:r>
          </w:p>
        </w:tc>
        <w:tc>
          <w:tcPr>
            <w:tcW w:w="1417" w:type="dxa"/>
          </w:tcPr>
          <w:p w:rsidR="00257EB8" w:rsidRDefault="00257EB8" w:rsidP="00257EB8">
            <w:pPr>
              <w:pStyle w:val="Pargrafo-1nvel"/>
              <w:numPr>
                <w:ilvl w:val="0"/>
                <w:numId w:val="0"/>
              </w:numPr>
            </w:pPr>
            <w:r>
              <w:t>24,21%</w:t>
            </w:r>
          </w:p>
        </w:tc>
        <w:tc>
          <w:tcPr>
            <w:tcW w:w="1417" w:type="dxa"/>
          </w:tcPr>
          <w:p w:rsidR="00257EB8" w:rsidRDefault="00257EB8" w:rsidP="00257EB8">
            <w:pPr>
              <w:pStyle w:val="Pargrafo-1nvel"/>
              <w:numPr>
                <w:ilvl w:val="0"/>
                <w:numId w:val="0"/>
              </w:numPr>
            </w:pPr>
            <w:r>
              <w:t>10,52%</w:t>
            </w:r>
          </w:p>
        </w:tc>
      </w:tr>
      <w:tr w:rsidR="00257EB8" w:rsidTr="00A202D5">
        <w:tc>
          <w:tcPr>
            <w:tcW w:w="709" w:type="dxa"/>
          </w:tcPr>
          <w:p w:rsidR="00257EB8" w:rsidRDefault="00257EB8" w:rsidP="00257EB8">
            <w:pPr>
              <w:pStyle w:val="Pargrafo-1nvel"/>
              <w:numPr>
                <w:ilvl w:val="0"/>
                <w:numId w:val="0"/>
              </w:numPr>
            </w:pPr>
            <w:r>
              <w:t>6</w:t>
            </w:r>
          </w:p>
        </w:tc>
        <w:tc>
          <w:tcPr>
            <w:tcW w:w="6096" w:type="dxa"/>
          </w:tcPr>
          <w:p w:rsidR="00257EB8" w:rsidRDefault="00257EB8" w:rsidP="00257EB8">
            <w:pPr>
              <w:pStyle w:val="Pargrafo-1nvel"/>
              <w:numPr>
                <w:ilvl w:val="0"/>
                <w:numId w:val="0"/>
              </w:numPr>
            </w:pPr>
            <w:r>
              <w:t>Fornecimento e lançamento do concreto</w:t>
            </w:r>
          </w:p>
        </w:tc>
        <w:tc>
          <w:tcPr>
            <w:tcW w:w="1417" w:type="dxa"/>
          </w:tcPr>
          <w:p w:rsidR="00257EB8" w:rsidRDefault="00257EB8" w:rsidP="00257EB8">
            <w:pPr>
              <w:pStyle w:val="Pargrafo-1nvel"/>
              <w:numPr>
                <w:ilvl w:val="0"/>
                <w:numId w:val="0"/>
              </w:numPr>
            </w:pPr>
            <w:r>
              <w:t>13,36%</w:t>
            </w:r>
          </w:p>
        </w:tc>
        <w:tc>
          <w:tcPr>
            <w:tcW w:w="1417" w:type="dxa"/>
          </w:tcPr>
          <w:p w:rsidR="00257EB8" w:rsidRDefault="00257EB8" w:rsidP="00257EB8">
            <w:pPr>
              <w:pStyle w:val="Pargrafo-1nvel"/>
              <w:numPr>
                <w:ilvl w:val="0"/>
                <w:numId w:val="0"/>
              </w:numPr>
            </w:pPr>
            <w:r>
              <w:t>11,63%</w:t>
            </w:r>
          </w:p>
        </w:tc>
      </w:tr>
      <w:tr w:rsidR="00257EB8" w:rsidTr="00A202D5">
        <w:tc>
          <w:tcPr>
            <w:tcW w:w="709" w:type="dxa"/>
          </w:tcPr>
          <w:p w:rsidR="00257EB8" w:rsidRDefault="00257EB8" w:rsidP="00257EB8">
            <w:pPr>
              <w:pStyle w:val="Pargrafo-1nvel"/>
              <w:numPr>
                <w:ilvl w:val="0"/>
                <w:numId w:val="0"/>
              </w:numPr>
            </w:pPr>
            <w:r>
              <w:t>7</w:t>
            </w:r>
          </w:p>
        </w:tc>
        <w:tc>
          <w:tcPr>
            <w:tcW w:w="6096" w:type="dxa"/>
          </w:tcPr>
          <w:p w:rsidR="00257EB8" w:rsidRDefault="00257EB8" w:rsidP="00257EB8">
            <w:pPr>
              <w:pStyle w:val="Pargrafo-1nvel"/>
              <w:numPr>
                <w:ilvl w:val="0"/>
                <w:numId w:val="0"/>
              </w:numPr>
            </w:pPr>
            <w:r>
              <w:t>Outros (limpeza, arrasamento, tubos PVC e provas de carga)</w:t>
            </w:r>
          </w:p>
        </w:tc>
        <w:tc>
          <w:tcPr>
            <w:tcW w:w="1417" w:type="dxa"/>
          </w:tcPr>
          <w:p w:rsidR="00257EB8" w:rsidRDefault="00257EB8" w:rsidP="00257EB8">
            <w:pPr>
              <w:pStyle w:val="Pargrafo-1nvel"/>
              <w:numPr>
                <w:ilvl w:val="0"/>
                <w:numId w:val="0"/>
              </w:numPr>
            </w:pPr>
            <w:r>
              <w:t>0,23%</w:t>
            </w:r>
          </w:p>
        </w:tc>
        <w:tc>
          <w:tcPr>
            <w:tcW w:w="1417" w:type="dxa"/>
          </w:tcPr>
          <w:p w:rsidR="00257EB8" w:rsidRDefault="00257EB8" w:rsidP="00257EB8">
            <w:pPr>
              <w:pStyle w:val="Pargrafo-1nvel"/>
              <w:numPr>
                <w:ilvl w:val="0"/>
                <w:numId w:val="0"/>
              </w:numPr>
            </w:pPr>
            <w:r>
              <w:t>5,63%</w:t>
            </w:r>
          </w:p>
        </w:tc>
      </w:tr>
      <w:tr w:rsidR="00257EB8" w:rsidTr="00A202D5">
        <w:tc>
          <w:tcPr>
            <w:tcW w:w="709" w:type="dxa"/>
          </w:tcPr>
          <w:p w:rsidR="00257EB8" w:rsidRDefault="00257EB8" w:rsidP="00257EB8">
            <w:pPr>
              <w:pStyle w:val="Pargrafo-1nvel"/>
              <w:numPr>
                <w:ilvl w:val="0"/>
                <w:numId w:val="0"/>
              </w:numPr>
            </w:pPr>
          </w:p>
        </w:tc>
        <w:tc>
          <w:tcPr>
            <w:tcW w:w="6096" w:type="dxa"/>
          </w:tcPr>
          <w:p w:rsidR="00257EB8" w:rsidRDefault="00257EB8" w:rsidP="00257EB8">
            <w:pPr>
              <w:pStyle w:val="Pargrafo-1nvel"/>
              <w:numPr>
                <w:ilvl w:val="0"/>
                <w:numId w:val="0"/>
              </w:numPr>
            </w:pPr>
            <w:r>
              <w:t>Total</w:t>
            </w:r>
          </w:p>
        </w:tc>
        <w:tc>
          <w:tcPr>
            <w:tcW w:w="1417" w:type="dxa"/>
          </w:tcPr>
          <w:p w:rsidR="00257EB8" w:rsidRDefault="00257EB8" w:rsidP="00257EB8">
            <w:pPr>
              <w:pStyle w:val="Pargrafo-1nvel"/>
              <w:numPr>
                <w:ilvl w:val="0"/>
                <w:numId w:val="0"/>
              </w:numPr>
            </w:pPr>
            <w:r>
              <w:t>100,00%</w:t>
            </w:r>
          </w:p>
        </w:tc>
        <w:tc>
          <w:tcPr>
            <w:tcW w:w="1417" w:type="dxa"/>
          </w:tcPr>
          <w:p w:rsidR="00257EB8" w:rsidRDefault="00257EB8" w:rsidP="00257EB8">
            <w:pPr>
              <w:pStyle w:val="Pargrafo-1nvel"/>
              <w:numPr>
                <w:ilvl w:val="0"/>
                <w:numId w:val="0"/>
              </w:numPr>
            </w:pPr>
            <w:r>
              <w:t>100,00%</w:t>
            </w:r>
          </w:p>
        </w:tc>
      </w:tr>
    </w:tbl>
    <w:p w:rsidR="005847EA" w:rsidRDefault="00C87F80" w:rsidP="00115744">
      <w:pPr>
        <w:pStyle w:val="Pargrafo-1nvel"/>
      </w:pPr>
      <w:r>
        <w:t>Os recorrentes alegam que o custo relativo da forma seria de 29,68% na obra de Maceió e 48,50% na de Natal</w:t>
      </w:r>
      <w:r w:rsidR="00BF3554">
        <w:t>.</w:t>
      </w:r>
      <w:r>
        <w:t xml:space="preserve"> Já o custo total do aço seria de 69,80% e 59,02%, respectivamente nas duas obras. Dessa forma,</w:t>
      </w:r>
      <w:r w:rsidR="00DF354A">
        <w:t xml:space="preserve"> sustentam que</w:t>
      </w:r>
      <w:r>
        <w:t xml:space="preserve"> a análise do presente caso – Natal – mereceria a mesma interpretação dada na obra do Porto de Maceió, por questão de isonomia.</w:t>
      </w:r>
    </w:p>
    <w:p w:rsidR="00683F0B" w:rsidRPr="00F970B3" w:rsidRDefault="00683F0B" w:rsidP="00683F0B">
      <w:pPr>
        <w:pStyle w:val="Ttulononumerado-1nvel"/>
        <w:rPr>
          <w:b w:val="0"/>
          <w:caps w:val="0"/>
          <w:u w:val="single"/>
        </w:rPr>
      </w:pPr>
      <w:r w:rsidRPr="003A5AE3">
        <w:rPr>
          <w:b w:val="0"/>
          <w:caps w:val="0"/>
          <w:u w:val="single"/>
        </w:rPr>
        <w:t>II.1.</w:t>
      </w:r>
      <w:r>
        <w:rPr>
          <w:b w:val="0"/>
          <w:caps w:val="0"/>
          <w:u w:val="single"/>
        </w:rPr>
        <w:t>1.</w:t>
      </w:r>
      <w:r w:rsidRPr="003A5AE3">
        <w:rPr>
          <w:b w:val="0"/>
          <w:caps w:val="0"/>
          <w:u w:val="single"/>
        </w:rPr>
        <w:t xml:space="preserve"> </w:t>
      </w:r>
      <w:r>
        <w:rPr>
          <w:b w:val="0"/>
          <w:caps w:val="0"/>
          <w:u w:val="single"/>
        </w:rPr>
        <w:t>Parecer do IBEC</w:t>
      </w:r>
    </w:p>
    <w:p w:rsidR="00BF3554" w:rsidRDefault="00683F0B" w:rsidP="00115744">
      <w:pPr>
        <w:pStyle w:val="Pargrafo-1nvel"/>
      </w:pPr>
      <w:r>
        <w:t>O parecerista afirma que o serviço em questão – Estaca moldada in loco D = 70cm – insere-se na coluna 40 dos índices da FGV e que não haveria outra possibilidade de enquadramento</w:t>
      </w:r>
      <w:r w:rsidR="00BF3554">
        <w:t>.</w:t>
      </w:r>
    </w:p>
    <w:p w:rsidR="00683F0B" w:rsidRDefault="00683F0B" w:rsidP="00115744">
      <w:pPr>
        <w:pStyle w:val="Pargrafo-1nvel"/>
      </w:pPr>
      <w:r>
        <w:lastRenderedPageBreak/>
        <w:t xml:space="preserve">Alega que, para fins de medição, o serviço foi dividido em atividades parciais. Seria inconcebível </w:t>
      </w:r>
      <w:r w:rsidR="002D3CAF">
        <w:t>creditá-lo na coluna 41 "calcado no simples fato de existir uma das etapas da execução do serviço que inclua uma parcela significativa de material metálico", pois o serviço principal seria o concreto armado.</w:t>
      </w:r>
    </w:p>
    <w:p w:rsidR="002D3CAF" w:rsidRDefault="002D3CAF" w:rsidP="00115744">
      <w:pPr>
        <w:pStyle w:val="Pargrafo-1nvel"/>
      </w:pPr>
      <w:r>
        <w:t>Somente seria aplicável ao caso a coluna 41 se o órgão de controle, em análise posterior, visasse sempre definir o menor custo para o Estado, ignorando a análise técnica de engenharia.</w:t>
      </w:r>
    </w:p>
    <w:p w:rsidR="002D3CAF" w:rsidRDefault="002D3CAF" w:rsidP="00115744">
      <w:pPr>
        <w:pStyle w:val="Pargrafo-1nvel"/>
      </w:pPr>
      <w:r>
        <w:t xml:space="preserve">Segundo o parecerista, seria descabida discussão para determinar o peso do aço ou do cimento no serviço, pois </w:t>
      </w:r>
      <w:r w:rsidR="006A7927">
        <w:t>seria "a engenharia" ou "a razão técnica" quem garantiria "o veredito".</w:t>
      </w:r>
    </w:p>
    <w:p w:rsidR="00E26A40" w:rsidRDefault="006A7927" w:rsidP="00115744">
      <w:pPr>
        <w:pStyle w:val="Pargrafo-1nvel"/>
      </w:pPr>
      <w:r>
        <w:t>Ainda</w:t>
      </w:r>
      <w:r w:rsidR="003E6691">
        <w:t>,</w:t>
      </w:r>
      <w:r>
        <w:t xml:space="preserve"> no entendimento do </w:t>
      </w:r>
      <w:r w:rsidR="003E6691">
        <w:t>presidente do IBEC, o mais indicado seria reajustar todo o subitem 2.1 por apenas um índice, pois a medição é realizada por metro de estaca cravada</w:t>
      </w:r>
      <w:r w:rsidR="00070F82">
        <w:t>.</w:t>
      </w:r>
      <w:r w:rsidR="003E6691">
        <w:t xml:space="preserve"> E a única alternativa seria adotar o índice da coluna 40.</w:t>
      </w:r>
    </w:p>
    <w:p w:rsidR="003E6691" w:rsidRDefault="003E6691" w:rsidP="00115744">
      <w:pPr>
        <w:pStyle w:val="Pargrafo-1nvel"/>
      </w:pPr>
      <w:r>
        <w:t>Encerrando o documento, é apresentada uma tabela que</w:t>
      </w:r>
      <w:r w:rsidR="009F6AD6">
        <w:t>, "apenas para rebater a análise realizada pelo TCU",</w:t>
      </w:r>
      <w:r>
        <w:t xml:space="preserve"> serviria para corrigir o cálculo do percentual de material metálico apresentado no relatório. Nessa tabela há a indicação de que 49,7% do serviço Estaca moldada </w:t>
      </w:r>
      <w:r w:rsidRPr="004106A6">
        <w:rPr>
          <w:i/>
        </w:rPr>
        <w:t>in loco</w:t>
      </w:r>
      <w:r>
        <w:t xml:space="preserve"> D=70cm</w:t>
      </w:r>
      <w:r w:rsidR="004106A6">
        <w:t xml:space="preserve"> corresponderiam ao material metálico.</w:t>
      </w:r>
    </w:p>
    <w:p w:rsidR="004106A6" w:rsidRPr="004106A6" w:rsidRDefault="004106A6" w:rsidP="004106A6">
      <w:pPr>
        <w:pStyle w:val="Pargrafo-1nvel"/>
        <w:numPr>
          <w:ilvl w:val="0"/>
          <w:numId w:val="0"/>
        </w:numPr>
        <w:rPr>
          <w:u w:val="single"/>
        </w:rPr>
      </w:pPr>
      <w:r w:rsidRPr="004106A6">
        <w:rPr>
          <w:u w:val="single"/>
        </w:rPr>
        <w:t>II.1.2. Ofício do CREA/RN</w:t>
      </w:r>
    </w:p>
    <w:p w:rsidR="00BF3554" w:rsidRDefault="004106A6" w:rsidP="00115744">
      <w:pPr>
        <w:pStyle w:val="Pargrafo-1nvel"/>
      </w:pPr>
      <w:r>
        <w:t>Esse documento (Anexo II, fls. 38-39</w:t>
      </w:r>
      <w:r w:rsidR="00342997">
        <w:t>),</w:t>
      </w:r>
      <w:r>
        <w:t xml:space="preserve"> juntado aos autos pelo Sr. Emerson Fernandes Daniel Júnior, trata-se de resposta da entidade </w:t>
      </w:r>
      <w:r w:rsidR="00342997">
        <w:t>classista</w:t>
      </w:r>
      <w:r>
        <w:t xml:space="preserve"> a consulta formulada pelo responsável, também anexa aos autos (Anexo II, fls. 41-49)</w:t>
      </w:r>
      <w:r w:rsidR="00E23484">
        <w:t>,</w:t>
      </w:r>
      <w:r w:rsidR="00E23484" w:rsidRPr="00E23484">
        <w:t xml:space="preserve"> a respeito da aplicação dos índices de reajustamento</w:t>
      </w:r>
      <w:r w:rsidR="00342997">
        <w:t>.</w:t>
      </w:r>
    </w:p>
    <w:p w:rsidR="00E23484" w:rsidRDefault="00E23484" w:rsidP="007E612F">
      <w:pPr>
        <w:pStyle w:val="Pargrafo-1nvel"/>
      </w:pPr>
      <w:r>
        <w:t>O presidente do Conselho Regional afirma que a definição do índice de reajuste deve ser função técnica por tratar-se de atividade de engenharia. Alega ainda que</w:t>
      </w:r>
      <w:r w:rsidR="00DF354A">
        <w:t>,</w:t>
      </w:r>
      <w:r>
        <w:t xml:space="preserve"> para a execução da estrutura de concreto armado</w:t>
      </w:r>
      <w:r w:rsidR="00DF354A">
        <w:t>,</w:t>
      </w:r>
      <w:r>
        <w:t xml:space="preserve"> devem ser considerados: o concreto, a armação e a forma. </w:t>
      </w:r>
    </w:p>
    <w:p w:rsidR="007E612F" w:rsidRDefault="00E23484" w:rsidP="007E612F">
      <w:pPr>
        <w:pStyle w:val="Pargrafo-1nvel"/>
      </w:pPr>
      <w:r>
        <w:t xml:space="preserve">Citando o parecer do IBEC, o profissional conclui por não vislumbrar irregularidade </w:t>
      </w:r>
      <w:r w:rsidR="006F2FB5">
        <w:t>no posicionamento adotado pelo consulente</w:t>
      </w:r>
      <w:r w:rsidR="00926B99">
        <w:t>.</w:t>
      </w:r>
    </w:p>
    <w:p w:rsidR="006F2FB5" w:rsidRPr="00F970B3" w:rsidRDefault="006F2FB5" w:rsidP="006F2FB5">
      <w:pPr>
        <w:pStyle w:val="Ttulononumerado-1nvel"/>
        <w:rPr>
          <w:b w:val="0"/>
          <w:caps w:val="0"/>
          <w:u w:val="single"/>
        </w:rPr>
      </w:pPr>
      <w:r w:rsidRPr="003A5AE3">
        <w:rPr>
          <w:b w:val="0"/>
          <w:caps w:val="0"/>
          <w:u w:val="single"/>
        </w:rPr>
        <w:t>II.</w:t>
      </w:r>
      <w:r>
        <w:rPr>
          <w:b w:val="0"/>
          <w:caps w:val="0"/>
          <w:u w:val="single"/>
        </w:rPr>
        <w:t>2</w:t>
      </w:r>
      <w:r w:rsidRPr="003A5AE3">
        <w:rPr>
          <w:b w:val="0"/>
          <w:caps w:val="0"/>
          <w:u w:val="single"/>
        </w:rPr>
        <w:t xml:space="preserve">. </w:t>
      </w:r>
      <w:r>
        <w:rPr>
          <w:b w:val="0"/>
          <w:caps w:val="0"/>
          <w:u w:val="single"/>
        </w:rPr>
        <w:t>Análise dos a</w:t>
      </w:r>
      <w:r w:rsidRPr="003A5AE3">
        <w:rPr>
          <w:b w:val="0"/>
          <w:caps w:val="0"/>
          <w:u w:val="single"/>
        </w:rPr>
        <w:t>rgumentos</w:t>
      </w:r>
      <w:r>
        <w:rPr>
          <w:b w:val="0"/>
          <w:caps w:val="0"/>
          <w:u w:val="single"/>
        </w:rPr>
        <w:t xml:space="preserve"> referentes às questões de engenharia</w:t>
      </w:r>
    </w:p>
    <w:p w:rsidR="006F2FB5" w:rsidRDefault="00F61AEC" w:rsidP="006F2FB5">
      <w:pPr>
        <w:pStyle w:val="Pargrafo-1nvel"/>
      </w:pPr>
      <w:r>
        <w:t>A variação das diferentes colunas que compõem o índice de obras portuárias d</w:t>
      </w:r>
      <w:r w:rsidR="0072349B">
        <w:t xml:space="preserve">a FGV acompanham as cotações </w:t>
      </w:r>
      <w:r>
        <w:t xml:space="preserve">de </w:t>
      </w:r>
      <w:r w:rsidR="00314E68">
        <w:t>insumos (equipamentos, materiais e mão de obra)</w:t>
      </w:r>
      <w:r>
        <w:t xml:space="preserve"> </w:t>
      </w:r>
      <w:r w:rsidR="0072349B">
        <w:t>sopesados em "cestas", afeita</w:t>
      </w:r>
      <w:r>
        <w:t xml:space="preserve">s às particularidades de cada coluna. </w:t>
      </w:r>
    </w:p>
    <w:p w:rsidR="00F61AEC" w:rsidRDefault="00F61AEC" w:rsidP="006F2FB5">
      <w:pPr>
        <w:pStyle w:val="Pargrafo-1nvel"/>
      </w:pPr>
      <w:r>
        <w:t xml:space="preserve">No relatório da auditoria realizada pela Secex/RN em 25/10/2002 (fls. 1-21), houve a preocupação por parte de auditor em se consultar a própria instituição que apura e divulga os índices – a Fundação Getúlio Vargas – acerca da composição das "cestas" referentes às colunas 40 e 41. </w:t>
      </w:r>
      <w:r w:rsidR="00314E68">
        <w:t>A estrutura de ponderações das sete colunas referentes a obras portuárias constam dos autos (Vol. 3, fls. 173-180).</w:t>
      </w:r>
    </w:p>
    <w:p w:rsidR="006F2FB5" w:rsidRDefault="00647E62" w:rsidP="006F2FB5">
      <w:pPr>
        <w:pStyle w:val="Pargrafo-1nvel"/>
      </w:pPr>
      <w:r>
        <w:t>É esperado que diferentes</w:t>
      </w:r>
      <w:r w:rsidR="002C73CA">
        <w:t xml:space="preserve"> índices apresentem variações dissonantes</w:t>
      </w:r>
      <w:r>
        <w:t xml:space="preserve"> entre si</w:t>
      </w:r>
      <w:r w:rsidR="002C73CA">
        <w:t xml:space="preserve">, </w:t>
      </w:r>
      <w:r>
        <w:t xml:space="preserve">pois </w:t>
      </w:r>
      <w:r w:rsidR="002C73CA">
        <w:t xml:space="preserve">esse </w:t>
      </w:r>
      <w:r>
        <w:t xml:space="preserve">é </w:t>
      </w:r>
      <w:r w:rsidR="002C73CA">
        <w:t xml:space="preserve">um dos motivos que </w:t>
      </w:r>
      <w:r>
        <w:t xml:space="preserve">levam à crescente especificação dos </w:t>
      </w:r>
      <w:r w:rsidR="00A4017A">
        <w:t>coeficientes</w:t>
      </w:r>
      <w:r>
        <w:t xml:space="preserve">. Em nenhum momento </w:t>
      </w:r>
      <w:r w:rsidR="0023419C">
        <w:t xml:space="preserve">do relatório de auditoria ou da análise da Secob </w:t>
      </w:r>
      <w:r>
        <w:t xml:space="preserve">se afirmou que </w:t>
      </w:r>
      <w:r w:rsidR="0023419C">
        <w:t>a Comissão de Fiscalização escolheu</w:t>
      </w:r>
      <w:r>
        <w:t xml:space="preserve"> o índice </w:t>
      </w:r>
      <w:r w:rsidR="0023419C">
        <w:t>da</w:t>
      </w:r>
      <w:r>
        <w:t xml:space="preserve"> coluna 40 </w:t>
      </w:r>
      <w:r w:rsidRPr="00647E62">
        <w:rPr>
          <w:b/>
        </w:rPr>
        <w:t>porque</w:t>
      </w:r>
      <w:r>
        <w:t xml:space="preserve"> este seria o de maior variação. </w:t>
      </w:r>
      <w:r w:rsidR="0023419C">
        <w:t>Entretanto</w:t>
      </w:r>
      <w:r w:rsidR="005550A8">
        <w:t xml:space="preserve">, para o período considerado, janeiro/1999 a maio/2000, </w:t>
      </w:r>
      <w:r w:rsidR="0023419C">
        <w:t>constata-se que realmente o índice da coluna 40 variou acima daquele da coluna 41, razão do débito ora existente.</w:t>
      </w:r>
    </w:p>
    <w:p w:rsidR="0006631A" w:rsidRDefault="00A4017A" w:rsidP="006F2FB5">
      <w:pPr>
        <w:pStyle w:val="Pargrafo-1nvel"/>
      </w:pPr>
      <w:r>
        <w:t>No mesmo sentido, em nenhuma passagem dos autos consta que a "alteração indevida dos índices de reajustamento" decorreria de alguma manipulação</w:t>
      </w:r>
      <w:r w:rsidR="00015C2C">
        <w:t>,</w:t>
      </w:r>
      <w:r>
        <w:t xml:space="preserve"> </w:t>
      </w:r>
      <w:r w:rsidR="00015C2C">
        <w:t xml:space="preserve">por parte dos responsáveis, </w:t>
      </w:r>
      <w:r>
        <w:t xml:space="preserve">nos coeficientes calculados pela FGV. O termo "alteração" advém da mudança, efetuada pela própria Comissão de Fiscalização, do índice utilizado para o reajustamento do subitem 2.1. </w:t>
      </w:r>
    </w:p>
    <w:p w:rsidR="00A4017A" w:rsidRDefault="0006631A" w:rsidP="006F2FB5">
      <w:pPr>
        <w:pStyle w:val="Pargrafo-1nvel"/>
      </w:pPr>
      <w:r>
        <w:lastRenderedPageBreak/>
        <w:t>Conforme se verifica nos autos,</w:t>
      </w:r>
      <w:r w:rsidR="00A4017A">
        <w:t xml:space="preserve"> inicialmente as medições de </w:t>
      </w:r>
      <w:r>
        <w:t xml:space="preserve">junho/2000 a maio/2001 foram reajustadas pelo índice da coluna 41. Posteriormente, a comissão </w:t>
      </w:r>
      <w:r w:rsidRPr="0006631A">
        <w:rPr>
          <w:b/>
        </w:rPr>
        <w:t>alterou</w:t>
      </w:r>
      <w:r>
        <w:t xml:space="preserve"> o índice de reajustamento para o da coluna 40, recalculando, para maior, o valor dos reajustes</w:t>
      </w:r>
      <w:r w:rsidR="00DF354A">
        <w:t>,</w:t>
      </w:r>
      <w:r>
        <w:t xml:space="preserve"> retroativamente.</w:t>
      </w:r>
      <w:r w:rsidR="00015C2C">
        <w:t xml:space="preserve"> O pagamento da diferença se deu em 9/7/2001, data em que se consumou o dano ao Erário.</w:t>
      </w:r>
    </w:p>
    <w:p w:rsidR="0023419C" w:rsidRDefault="00A4017A" w:rsidP="006F2FB5">
      <w:pPr>
        <w:pStyle w:val="Pargrafo-1nvel"/>
      </w:pPr>
      <w:r>
        <w:t xml:space="preserve">Assiste razão aos recorrentes nas seguintes alegações: </w:t>
      </w:r>
      <w:r w:rsidR="0006631A">
        <w:t xml:space="preserve">não é usual a utilização de formas de madeira na cravação de estacas, as formas de madeira vêm sendo substituídas cada vez mais por componentes metálicos e o serviço "concreto armado" constitui-se de </w:t>
      </w:r>
      <w:r w:rsidR="00360965">
        <w:t>concreto, armação e forma.</w:t>
      </w:r>
    </w:p>
    <w:p w:rsidR="00360965" w:rsidRDefault="00360965" w:rsidP="006F2FB5">
      <w:pPr>
        <w:pStyle w:val="Pargrafo-1nvel"/>
      </w:pPr>
      <w:r>
        <w:t xml:space="preserve">Entretanto, nenhum desses argumentos invalida as constatações anteriormente levantadas pela Secex/RN e Secob. </w:t>
      </w:r>
      <w:r w:rsidR="00015C2C">
        <w:t>Em suas manifestações</w:t>
      </w:r>
      <w:r>
        <w:t xml:space="preserve">, os responsáveis buscam ressaltar e superestimar o peso da forma na composição do concreto, para tentar fazer correspondência com a camisa metálica, que estruturalmente </w:t>
      </w:r>
      <w:r w:rsidR="0086428E">
        <w:t xml:space="preserve">desempenha </w:t>
      </w:r>
      <w:r>
        <w:t xml:space="preserve">o papel de forma </w:t>
      </w:r>
      <w:r w:rsidR="0086428E">
        <w:t>da estaca</w:t>
      </w:r>
      <w:r>
        <w:t>.</w:t>
      </w:r>
    </w:p>
    <w:p w:rsidR="006F2FB5" w:rsidRDefault="0086428E" w:rsidP="006F2FB5">
      <w:pPr>
        <w:pStyle w:val="Pargrafo-1nvel"/>
      </w:pPr>
      <w:r>
        <w:t>Nesse mesmo sentido, a composição de custo apresentada pelos recorrentes, concreto fck=15MPa</w:t>
      </w:r>
      <w:r w:rsidR="00DF354A">
        <w:t xml:space="preserve"> fabricado em betoneira</w:t>
      </w:r>
      <w:r>
        <w:t xml:space="preserve">, não serve como parâmetro de comparação para o caso em tela. Para esse tipo de </w:t>
      </w:r>
      <w:r w:rsidR="00CD1674">
        <w:t xml:space="preserve">concreto armado, </w:t>
      </w:r>
      <w:r w:rsidR="00375B3D">
        <w:t xml:space="preserve">confeccionado em pequeno volume por betonada e </w:t>
      </w:r>
      <w:r w:rsidR="00CD1674">
        <w:t xml:space="preserve">em que a </w:t>
      </w:r>
      <w:r w:rsidR="00A034AC">
        <w:t>quantidade</w:t>
      </w:r>
      <w:r w:rsidR="00CD1674">
        <w:t xml:space="preserve"> de cimento (insumo </w:t>
      </w:r>
      <w:r w:rsidR="0034182A">
        <w:t xml:space="preserve">proporcionalmente </w:t>
      </w:r>
      <w:r w:rsidR="00CD1674">
        <w:t>mais caro)</w:t>
      </w:r>
      <w:r w:rsidR="00A034AC">
        <w:t xml:space="preserve"> no traço</w:t>
      </w:r>
      <w:r w:rsidR="00CD1674">
        <w:t xml:space="preserve"> </w:t>
      </w:r>
      <w:r>
        <w:t xml:space="preserve">é </w:t>
      </w:r>
      <w:r w:rsidR="00CD1674">
        <w:t>baixa, espera-se</w:t>
      </w:r>
      <w:r>
        <w:t xml:space="preserve"> que o custo relativo da forma </w:t>
      </w:r>
      <w:r w:rsidR="00CD1674">
        <w:t>seja consideravelmente mais representativo.</w:t>
      </w:r>
    </w:p>
    <w:p w:rsidR="0049478E" w:rsidRDefault="00B33426" w:rsidP="006F2FB5">
      <w:pPr>
        <w:pStyle w:val="Pargrafo-1nvel"/>
      </w:pPr>
      <w:r>
        <w:t xml:space="preserve">O concreto </w:t>
      </w:r>
      <w:r w:rsidR="00A6738B">
        <w:t xml:space="preserve">normalmente </w:t>
      </w:r>
      <w:r w:rsidR="0049478E">
        <w:t>utilizado em obras portuárias, onde o ambiente é naturalmente agressivo, trata-se</w:t>
      </w:r>
      <w:r w:rsidR="003B7411">
        <w:t xml:space="preserve"> de material de alto desempenho</w:t>
      </w:r>
      <w:r w:rsidR="0049478E">
        <w:t xml:space="preserve">. </w:t>
      </w:r>
      <w:r w:rsidR="00FB6608">
        <w:t xml:space="preserve">Em geral, além da alta taxa de cimento no traço, deve-se acrescer também </w:t>
      </w:r>
      <w:r w:rsidR="0049478E">
        <w:t>em sua composição aditivos químicos que garantam sua qualidade. Es</w:t>
      </w:r>
      <w:r w:rsidR="007D7BB9">
        <w:t>s</w:t>
      </w:r>
      <w:r w:rsidR="0049478E">
        <w:t>e tipo de concreto</w:t>
      </w:r>
      <w:r w:rsidR="00375B3D">
        <w:t>, devido às suas características e volume de emprego,</w:t>
      </w:r>
      <w:r w:rsidR="0049478E">
        <w:t xml:space="preserve"> só se consegue fabricar e empregar com a utilização de equipamentos </w:t>
      </w:r>
      <w:r w:rsidR="00DF354A">
        <w:t xml:space="preserve">especiais </w:t>
      </w:r>
      <w:r w:rsidR="0049478E">
        <w:t xml:space="preserve">(central de concreto, balanças para a dosagem, caminhões-betoneira, bombas de concreto, guindastes, tubos </w:t>
      </w:r>
      <w:r w:rsidR="0049478E" w:rsidRPr="0049478E">
        <w:rPr>
          <w:i/>
        </w:rPr>
        <w:t>tremie</w:t>
      </w:r>
      <w:r w:rsidR="0049478E">
        <w:t>, etc), além de demandar rígido controle de qualidade.</w:t>
      </w:r>
      <w:r w:rsidR="00FB6608">
        <w:t xml:space="preserve"> Nessas condições, a parcela relativa apenas ao custo do concreto, dentro do serviço "concreto armado", é consideravelmente maior do que naquele serviço </w:t>
      </w:r>
      <w:r>
        <w:t xml:space="preserve">trazido aos autos </w:t>
      </w:r>
      <w:r w:rsidR="00DF354A">
        <w:t>para fins de comparação</w:t>
      </w:r>
      <w:r w:rsidR="00FB6608">
        <w:t>.</w:t>
      </w:r>
    </w:p>
    <w:p w:rsidR="00E70299" w:rsidRDefault="00CD1674" w:rsidP="006F2FB5">
      <w:pPr>
        <w:pStyle w:val="Pargrafo-1nvel"/>
      </w:pPr>
      <w:r>
        <w:t xml:space="preserve">Seria mais plausível considerar o peso </w:t>
      </w:r>
      <w:r w:rsidR="00AE6E37">
        <w:t>do item</w:t>
      </w:r>
      <w:r>
        <w:t xml:space="preserve"> </w:t>
      </w:r>
      <w:r w:rsidR="00AE6E37">
        <w:t>"</w:t>
      </w:r>
      <w:r>
        <w:t>forma</w:t>
      </w:r>
      <w:r w:rsidR="00AE6E37">
        <w:t>"</w:t>
      </w:r>
      <w:r>
        <w:t xml:space="preserve"> na estrutura de ponderação </w:t>
      </w:r>
      <w:r w:rsidR="00DD0279">
        <w:t xml:space="preserve">da própria FGV, que é quem </w:t>
      </w:r>
      <w:r w:rsidR="00893F52">
        <w:t>apura o índice</w:t>
      </w:r>
      <w:r w:rsidR="00FB6608">
        <w:t xml:space="preserve"> oficial</w:t>
      </w:r>
      <w:r w:rsidR="00893F52">
        <w:t xml:space="preserve">, e não o da composição de custo do concreto </w:t>
      </w:r>
      <w:r w:rsidR="00AE6E37">
        <w:t>menos resistente</w:t>
      </w:r>
      <w:r w:rsidR="00893F52">
        <w:t xml:space="preserve"> da Editora Pini. Verificando a "cesta" de insumos que compõem a coluna 40 (Vol. 3, fls. 173-174), aqueles que se referem especificamente à parcela "forma" são: madeira (0,3843%), carpinteiro (7,2482%) e pregos (0,9002%). </w:t>
      </w:r>
    </w:p>
    <w:p w:rsidR="00CD1674" w:rsidRDefault="00E70299" w:rsidP="006F2FB5">
      <w:pPr>
        <w:pStyle w:val="Pargrafo-1nvel"/>
      </w:pPr>
      <w:r>
        <w:t>Constata-se então</w:t>
      </w:r>
      <w:r w:rsidR="00BD2A94">
        <w:t xml:space="preserve"> que a</w:t>
      </w:r>
      <w:r>
        <w:t xml:space="preserve"> </w:t>
      </w:r>
      <w:r w:rsidR="00BD2A94">
        <w:t>participação</w:t>
      </w:r>
      <w:r>
        <w:t xml:space="preserve"> </w:t>
      </w:r>
      <w:r w:rsidR="003B7411">
        <w:t>da</w:t>
      </w:r>
      <w:r>
        <w:t xml:space="preserve"> forma na composição da coluna 40 da FGV é de 8,53%, significativamente abaixo dos 39,46% da composição da Pini. E também, consideravelmente inferior </w:t>
      </w:r>
      <w:r w:rsidR="00BD2A94">
        <w:t xml:space="preserve">à porcentagem defendida pelos recorrentes – </w:t>
      </w:r>
      <w:r>
        <w:t>49,65%</w:t>
      </w:r>
      <w:r w:rsidR="00BD2A94">
        <w:t xml:space="preserve"> –</w:t>
      </w:r>
      <w:r w:rsidR="003B7411">
        <w:t>,</w:t>
      </w:r>
      <w:r w:rsidR="00BD2A94">
        <w:t xml:space="preserve"> que </w:t>
      </w:r>
      <w:r w:rsidR="00BD2A94" w:rsidRPr="00BD2A94">
        <w:t xml:space="preserve">corresponderia à "forma" do serviço </w:t>
      </w:r>
      <w:r>
        <w:t>em quest</w:t>
      </w:r>
      <w:r w:rsidR="00BD2A94">
        <w:t>ão</w:t>
      </w:r>
      <w:r w:rsidR="007A6C37">
        <w:t>.</w:t>
      </w:r>
    </w:p>
    <w:p w:rsidR="007A6C37" w:rsidRDefault="007A6C37" w:rsidP="006F2FB5">
      <w:pPr>
        <w:pStyle w:val="Pargrafo-1nvel"/>
      </w:pPr>
      <w:r>
        <w:t xml:space="preserve">Quanto à alegação de que o subitem 2.1.3 – </w:t>
      </w:r>
      <w:r w:rsidRPr="007A6C37">
        <w:t>Cravação de estacas e contraventamento</w:t>
      </w:r>
      <w:r>
        <w:t xml:space="preserve"> – deveria ser também enquadrado no índice da coluna 40, equivocam-se os recorrentes. </w:t>
      </w:r>
      <w:r w:rsidR="00557778">
        <w:t xml:space="preserve">De fato, os insumos utilizados para o serviço de cravação de estacas – bate-estaca, guindaste, operador – e </w:t>
      </w:r>
      <w:r w:rsidR="00BD2A94">
        <w:t>aqueles</w:t>
      </w:r>
      <w:r w:rsidR="00557778">
        <w:t xml:space="preserve"> utilizados para o serviço de contraventamento – máquina de solda, perfis metálicos, soldador, eletrodos – figuram na "cesta" da coluna 41 e não da coluna 40.</w:t>
      </w:r>
    </w:p>
    <w:p w:rsidR="00557778" w:rsidRDefault="00D10BC5" w:rsidP="006F2FB5">
      <w:pPr>
        <w:pStyle w:val="Pargrafo-1nvel"/>
      </w:pPr>
      <w:r>
        <w:t xml:space="preserve">Concluindo, ainda que a estaca, após concluída, </w:t>
      </w:r>
      <w:r w:rsidR="003B7411">
        <w:t>se comporte</w:t>
      </w:r>
      <w:r>
        <w:t xml:space="preserve"> </w:t>
      </w:r>
      <w:r w:rsidR="00CD17CE" w:rsidRPr="00CD17CE">
        <w:t xml:space="preserve">estruturalmente </w:t>
      </w:r>
      <w:r>
        <w:t>como uma peça de concreto armado</w:t>
      </w:r>
      <w:r w:rsidR="00BD2A94">
        <w:t xml:space="preserve">, não se pode olvidar o significativo peso que os itens diretamente relacionados </w:t>
      </w:r>
      <w:r>
        <w:t>às camisas metálicas – fornecimento, solda e cravação –</w:t>
      </w:r>
      <w:r w:rsidR="003B7411">
        <w:t>,</w:t>
      </w:r>
      <w:r>
        <w:t xml:space="preserve"> bem como o item de contraventamento – que </w:t>
      </w:r>
      <w:r w:rsidR="003B7411">
        <w:t xml:space="preserve">se </w:t>
      </w:r>
      <w:r>
        <w:t>constitui basicamente de serviços de solda e manuseio de perfis metálicos –</w:t>
      </w:r>
      <w:r w:rsidR="003B7411">
        <w:t>,</w:t>
      </w:r>
      <w:r>
        <w:t xml:space="preserve"> têm no total do subitem 2.1 da planilha: 72,2%. </w:t>
      </w:r>
    </w:p>
    <w:p w:rsidR="006F2FB5" w:rsidRDefault="00CD17CE" w:rsidP="006F2FB5">
      <w:pPr>
        <w:pStyle w:val="Pargrafo-1nvel"/>
      </w:pPr>
      <w:r>
        <w:t>Dessa forma, é coerente o entendimento inicial da Secex/RN de que, se a Comissão de Fiscalização deveria eleger apenas um índice da FGV para reajustar todo o subitem 2.1, es</w:t>
      </w:r>
      <w:r w:rsidR="007D7BB9">
        <w:t>s</w:t>
      </w:r>
      <w:r>
        <w:t xml:space="preserve">a </w:t>
      </w:r>
      <w:r>
        <w:lastRenderedPageBreak/>
        <w:t xml:space="preserve">escolha deveria recair no índice da coluna 41 – </w:t>
      </w:r>
      <w:r w:rsidRPr="00CD17CE">
        <w:t>Estruturas e fundações metálicas</w:t>
      </w:r>
      <w:r>
        <w:t xml:space="preserve"> –, como de fato ocorreu inicialmente. </w:t>
      </w:r>
    </w:p>
    <w:p w:rsidR="008F7F21" w:rsidRDefault="00CD17CE" w:rsidP="006F2FB5">
      <w:pPr>
        <w:pStyle w:val="Pargrafo-1nvel"/>
      </w:pPr>
      <w:r>
        <w:t xml:space="preserve">Posteriormente, em análise </w:t>
      </w:r>
      <w:r w:rsidR="003B7411">
        <w:t>conservadora</w:t>
      </w:r>
      <w:r>
        <w:t xml:space="preserve">, a Secob expurgou do total </w:t>
      </w:r>
      <w:r w:rsidR="008F7F21">
        <w:t xml:space="preserve">do subitem 2.1 </w:t>
      </w:r>
      <w:r>
        <w:t xml:space="preserve">os 27,8% referentes a serviços </w:t>
      </w:r>
      <w:r w:rsidR="001C179A">
        <w:t>ligados</w:t>
      </w:r>
      <w:r>
        <w:t xml:space="preserve"> à coluna 40, diminuindo o </w:t>
      </w:r>
      <w:r w:rsidRPr="00CD17CE">
        <w:rPr>
          <w:i/>
        </w:rPr>
        <w:t>quantum</w:t>
      </w:r>
      <w:r>
        <w:t xml:space="preserve"> do débito apontado. </w:t>
      </w:r>
    </w:p>
    <w:p w:rsidR="00CD17CE" w:rsidRDefault="008F7F21" w:rsidP="006F2FB5">
      <w:pPr>
        <w:pStyle w:val="Pargrafo-1nvel"/>
      </w:pPr>
      <w:r>
        <w:t xml:space="preserve">Seria desarrazoado considerar, como pretendem os recorrentes, que todo o subitem 2.1 deveria se enquadrar na coluna 40, </w:t>
      </w:r>
      <w:r w:rsidR="009330B5" w:rsidRPr="009330B5">
        <w:t>sob a alegação de que a camisa metálica configurar-se-ia como mera forma do concreto</w:t>
      </w:r>
      <w:r w:rsidR="009330B5">
        <w:t>,</w:t>
      </w:r>
      <w:r w:rsidR="009330B5" w:rsidRPr="009330B5">
        <w:t xml:space="preserve"> </w:t>
      </w:r>
      <w:r>
        <w:t xml:space="preserve">enquanto 72,2% de seu total </w:t>
      </w:r>
      <w:r w:rsidR="009330B5">
        <w:t>constituem-se de serviços e materiais que compõem a coluna 41 e não a 40.</w:t>
      </w:r>
    </w:p>
    <w:p w:rsidR="008F7F21" w:rsidRDefault="008F7F21" w:rsidP="006F2FB5">
      <w:pPr>
        <w:pStyle w:val="Pargrafo-1nvel"/>
      </w:pPr>
      <w:r>
        <w:t xml:space="preserve">Quanto à comparação da obra em tela com a do Porto de Maceió, deve-se ressaltar de antemão que é </w:t>
      </w:r>
      <w:r w:rsidR="009A217A">
        <w:t xml:space="preserve">essa </w:t>
      </w:r>
      <w:r>
        <w:t>descabida</w:t>
      </w:r>
      <w:r w:rsidR="004A39E3">
        <w:t xml:space="preserve"> tecnicamente</w:t>
      </w:r>
      <w:r>
        <w:t>. Na obra de Maceió foram utilizadas estacas de concreto pré-moldado</w:t>
      </w:r>
      <w:r w:rsidR="00CE0C2E">
        <w:t xml:space="preserve">, diferente das estacas moldadas </w:t>
      </w:r>
      <w:r w:rsidR="00CE0C2E" w:rsidRPr="00CE0C2E">
        <w:rPr>
          <w:i/>
        </w:rPr>
        <w:t>in loco</w:t>
      </w:r>
      <w:r w:rsidR="00CE0C2E">
        <w:t>, que foi o processo usado na obra do Porto de Natal.</w:t>
      </w:r>
    </w:p>
    <w:p w:rsidR="00CE0C2E" w:rsidRDefault="00CE0C2E" w:rsidP="006F2FB5">
      <w:pPr>
        <w:pStyle w:val="Pargrafo-1nvel"/>
      </w:pPr>
      <w:r>
        <w:t xml:space="preserve">As estacas de concreto pré-moldado são concretadas em </w:t>
      </w:r>
      <w:r w:rsidR="009A217A">
        <w:t>fábricas de peças pré-moldadas ou no canteiro de obras</w:t>
      </w:r>
      <w:r>
        <w:t xml:space="preserve">. Após a cura do concreto, a estaca é retirada da forma e procede-se </w:t>
      </w:r>
      <w:r w:rsidR="00A014A6">
        <w:t>a</w:t>
      </w:r>
      <w:r>
        <w:t xml:space="preserve"> nova montagem da armação e concretagem utilizando-se a mesma forma</w:t>
      </w:r>
      <w:r w:rsidR="004A39E3">
        <w:t xml:space="preserve">, não necessariamente metálica. Não raro, uma mesma forma é utilizada para a fabricação de centenas de estacas. </w:t>
      </w:r>
      <w:r w:rsidR="003C0FE9">
        <w:t xml:space="preserve">Esse processo é diferente </w:t>
      </w:r>
      <w:r>
        <w:t>do caso em tela, em que para cada estaca é necessária uma camisa, obrigatoriamente metálica, que lhe sirva de forma.</w:t>
      </w:r>
      <w:r w:rsidR="009A217A">
        <w:t xml:space="preserve"> Da impossibilidade de reaproveitamento da camisa metálica advém o conceito de "camisa perdida".</w:t>
      </w:r>
    </w:p>
    <w:p w:rsidR="00B56238" w:rsidRDefault="00A014A6" w:rsidP="006F2FB5">
      <w:pPr>
        <w:pStyle w:val="Pargrafo-1nvel"/>
      </w:pPr>
      <w:r>
        <w:t xml:space="preserve">Os recorrentes equivocam-se também </w:t>
      </w:r>
      <w:r w:rsidR="007D7BB9">
        <w:t>ao adicionar</w:t>
      </w:r>
      <w:r>
        <w:t xml:space="preserve"> o aço CA-50 e as cordoalhas para protensão ao custo total do aço para o serviço, pois</w:t>
      </w:r>
      <w:r w:rsidR="009A217A">
        <w:t>,</w:t>
      </w:r>
      <w:r>
        <w:t xml:space="preserve"> conforme o próprio entendimento que lhes beneficiou</w:t>
      </w:r>
      <w:r w:rsidR="004A39E3">
        <w:t xml:space="preserve"> adotado pela Secob</w:t>
      </w:r>
      <w:r w:rsidR="007D7BB9">
        <w:t>, ess</w:t>
      </w:r>
      <w:r>
        <w:t xml:space="preserve">es materiais são considerados integrantes do concreto. </w:t>
      </w:r>
    </w:p>
    <w:p w:rsidR="00A014A6" w:rsidRDefault="00A014A6" w:rsidP="006F2FB5">
      <w:pPr>
        <w:pStyle w:val="Pargrafo-1nvel"/>
      </w:pPr>
      <w:r>
        <w:t xml:space="preserve">Na mesma tabela apresentada, somando-se as parcelas do concreto e </w:t>
      </w:r>
      <w:r w:rsidR="00EC5BF0">
        <w:t>do aço que o integra, chega-se aos percentuais de 53,49% em Maceió e</w:t>
      </w:r>
      <w:r>
        <w:t xml:space="preserve"> </w:t>
      </w:r>
      <w:r w:rsidR="00EC5BF0">
        <w:t>22,15% em Natal. Assim, em análise simplificada, verifica-se que no primeiro caso</w:t>
      </w:r>
      <w:r w:rsidR="004A39E3">
        <w:t xml:space="preserve"> (Porto de Maceió)</w:t>
      </w:r>
      <w:r w:rsidR="00EC5BF0">
        <w:t xml:space="preserve"> o peso do item "concreto" é significativamente maior, o que pode justificar a adoção do índice da coluna 40 para balizar o reajustamento do serviço, diferentemente do que ocorre</w:t>
      </w:r>
      <w:r w:rsidR="009A217A">
        <w:t>u na obra d</w:t>
      </w:r>
      <w:r w:rsidR="004A39E3">
        <w:t>o Porto de Natal.</w:t>
      </w:r>
    </w:p>
    <w:p w:rsidR="004A39E3" w:rsidRPr="00F970B3" w:rsidRDefault="004A39E3" w:rsidP="004A39E3">
      <w:pPr>
        <w:pStyle w:val="Ttulononumerado-1nvel"/>
        <w:rPr>
          <w:b w:val="0"/>
          <w:caps w:val="0"/>
          <w:u w:val="single"/>
        </w:rPr>
      </w:pPr>
      <w:r>
        <w:rPr>
          <w:b w:val="0"/>
          <w:caps w:val="0"/>
          <w:u w:val="single"/>
        </w:rPr>
        <w:t>II.2</w:t>
      </w:r>
      <w:r w:rsidRPr="003A5AE3">
        <w:rPr>
          <w:b w:val="0"/>
          <w:caps w:val="0"/>
          <w:u w:val="single"/>
        </w:rPr>
        <w:t>.</w:t>
      </w:r>
      <w:r>
        <w:rPr>
          <w:b w:val="0"/>
          <w:caps w:val="0"/>
          <w:u w:val="single"/>
        </w:rPr>
        <w:t>1.</w:t>
      </w:r>
      <w:r w:rsidRPr="003A5AE3">
        <w:rPr>
          <w:b w:val="0"/>
          <w:caps w:val="0"/>
          <w:u w:val="single"/>
        </w:rPr>
        <w:t xml:space="preserve"> </w:t>
      </w:r>
      <w:r>
        <w:rPr>
          <w:b w:val="0"/>
          <w:caps w:val="0"/>
          <w:u w:val="single"/>
        </w:rPr>
        <w:t>Análise do parecer do IBEC</w:t>
      </w:r>
    </w:p>
    <w:p w:rsidR="001825DC" w:rsidRDefault="001825DC" w:rsidP="004A39E3">
      <w:pPr>
        <w:pStyle w:val="Pargrafo-1nvel"/>
      </w:pPr>
      <w:r>
        <w:t>Em suma, o parecerista alega que, pelo fato do produto final do serviço – a estaca – comportar-se estruturalmente como um elemento de concreto armado, o serviço como um todo deveria ser reajustado pelo índice da coluna 40.</w:t>
      </w:r>
    </w:p>
    <w:p w:rsidR="004A39E3" w:rsidRDefault="007B2473" w:rsidP="004A39E3">
      <w:pPr>
        <w:pStyle w:val="Pargrafo-1nvel"/>
      </w:pPr>
      <w:r>
        <w:t>Assim, o</w:t>
      </w:r>
      <w:r w:rsidR="001825DC">
        <w:t xml:space="preserve"> parecerista ignora o peso dos itens exclusivamente atinentes aos materiais metálicos e desconsidera </w:t>
      </w:r>
      <w:r>
        <w:t xml:space="preserve">completamente </w:t>
      </w:r>
      <w:r w:rsidR="001825DC">
        <w:t xml:space="preserve">o serviço de cravação, que, conforme já citado, </w:t>
      </w:r>
      <w:r w:rsidR="00B56238">
        <w:t xml:space="preserve">somados </w:t>
      </w:r>
      <w:r w:rsidR="001825DC">
        <w:t xml:space="preserve">correspondem a 72,2% do total </w:t>
      </w:r>
      <w:r>
        <w:t xml:space="preserve">do subitem 2.1 </w:t>
      </w:r>
      <w:r w:rsidR="001825DC">
        <w:t>e estão todos enquadrados no índice da coluna 41.</w:t>
      </w:r>
    </w:p>
    <w:p w:rsidR="007B2473" w:rsidRDefault="007B2473" w:rsidP="004A39E3">
      <w:pPr>
        <w:pStyle w:val="Pargrafo-1nvel"/>
      </w:pPr>
      <w:r>
        <w:t xml:space="preserve">Esse entendimento mostra-se equivocado e afronta o dispositivo legal que estabelece o instituto do reajustamento de preços nos contratos administrativos. </w:t>
      </w:r>
      <w:r w:rsidR="009F6AD6">
        <w:t>Conforme o</w:t>
      </w:r>
      <w:r w:rsidR="0017365B">
        <w:t xml:space="preserve"> </w:t>
      </w:r>
      <w:r w:rsidR="0017365B" w:rsidRPr="0017365B">
        <w:rPr>
          <w:i/>
        </w:rPr>
        <w:t>caput</w:t>
      </w:r>
      <w:r w:rsidR="0017365B">
        <w:t xml:space="preserve"> do art. 2º da Lei 10.192/2001:</w:t>
      </w:r>
    </w:p>
    <w:p w:rsidR="0017365B" w:rsidRPr="0017365B" w:rsidRDefault="0017365B" w:rsidP="0017365B">
      <w:pPr>
        <w:pStyle w:val="Pargrafo-1nvel"/>
        <w:numPr>
          <w:ilvl w:val="0"/>
          <w:numId w:val="0"/>
        </w:numPr>
        <w:ind w:left="1134"/>
        <w:rPr>
          <w:sz w:val="22"/>
          <w:szCs w:val="22"/>
        </w:rPr>
      </w:pPr>
      <w:r w:rsidRPr="0017365B">
        <w:rPr>
          <w:sz w:val="22"/>
          <w:szCs w:val="22"/>
        </w:rPr>
        <w:t xml:space="preserve">Art. 2º - É admitida estipulação de correção monetária ou de reajuste por índices de preços gerais, setoriais ou que </w:t>
      </w:r>
      <w:r w:rsidRPr="0017365B">
        <w:rPr>
          <w:b/>
          <w:sz w:val="22"/>
          <w:szCs w:val="22"/>
        </w:rPr>
        <w:t>reflitam a variação dos custos de produção ou dos insumos utilizados</w:t>
      </w:r>
      <w:r w:rsidRPr="0017365B">
        <w:rPr>
          <w:sz w:val="22"/>
          <w:szCs w:val="22"/>
        </w:rPr>
        <w:t xml:space="preserve"> nos contratos de prazo de duração igual ou superior a um ano.</w:t>
      </w:r>
      <w:r>
        <w:rPr>
          <w:sz w:val="22"/>
          <w:szCs w:val="22"/>
        </w:rPr>
        <w:t xml:space="preserve"> (Grifo nosso)</w:t>
      </w:r>
    </w:p>
    <w:p w:rsidR="006F2FB5" w:rsidRDefault="0017365B" w:rsidP="0017365B">
      <w:pPr>
        <w:pStyle w:val="Pargrafo-1nvel"/>
      </w:pPr>
      <w:r>
        <w:t xml:space="preserve">Dessa forma, ainda que o produto acabado do serviço venha a se comportar, do ponto de vista técnico de engenharia, como um elemento de concreto, para fins de </w:t>
      </w:r>
      <w:r w:rsidR="009F6AD6">
        <w:t>reajustamento do contrato, devem ser considerados os seus custos de produção e de insumos.</w:t>
      </w:r>
    </w:p>
    <w:p w:rsidR="009F6AD6" w:rsidRDefault="009F6AD6" w:rsidP="0017365B">
      <w:pPr>
        <w:pStyle w:val="Pargrafo-1nvel"/>
      </w:pPr>
      <w:r>
        <w:t xml:space="preserve">Quanto à tabela apresentada </w:t>
      </w:r>
      <w:r w:rsidR="00BA1D03">
        <w:t xml:space="preserve">no final do </w:t>
      </w:r>
      <w:r w:rsidR="009A217A">
        <w:t xml:space="preserve">documento, cabe ressaltar que essa </w:t>
      </w:r>
      <w:r w:rsidR="00BA1D03">
        <w:t>não é a planilha atualiza</w:t>
      </w:r>
      <w:r w:rsidR="009A217A">
        <w:t xml:space="preserve">da do subitem 2.1 do Contrato </w:t>
      </w:r>
      <w:r w:rsidR="00BA1D03">
        <w:t>6/99, considerando-se seus aditivos. Nessa tabela</w:t>
      </w:r>
      <w:r w:rsidR="00B56238">
        <w:t xml:space="preserve"> –</w:t>
      </w:r>
      <w:r w:rsidR="00BA1D03">
        <w:t xml:space="preserve"> a</w:t>
      </w:r>
      <w:r w:rsidR="00B56238">
        <w:t xml:space="preserve"> original da licitação – </w:t>
      </w:r>
      <w:r w:rsidR="00BA1D03">
        <w:t xml:space="preserve">os quantitativos encontram-se diferentes da planilha efetivamente executada, </w:t>
      </w:r>
      <w:r w:rsidR="00BA1D03">
        <w:lastRenderedPageBreak/>
        <w:t>inclusive consta um item que foi suprimido</w:t>
      </w:r>
      <w:r w:rsidR="00B56238">
        <w:t xml:space="preserve"> do contrato</w:t>
      </w:r>
      <w:r w:rsidR="00BA1D03">
        <w:t>. A tabela correta é aquela constante da instrução da Secob (Vol. 6, fl. 216) e do relatório de auditoria</w:t>
      </w:r>
      <w:r w:rsidR="00342997">
        <w:t xml:space="preserve"> da Secex/RN (Vol. Principal, fl. 5). Tal fato é um indício de que o parecerista não teve a oportunidade de </w:t>
      </w:r>
      <w:r w:rsidR="00FA3DEB">
        <w:t xml:space="preserve">examinar todas as peças do processo e assim </w:t>
      </w:r>
      <w:r w:rsidR="00342997">
        <w:t>aprofundar-se na análise do caso concreto.</w:t>
      </w:r>
    </w:p>
    <w:p w:rsidR="00342997" w:rsidRPr="004106A6" w:rsidRDefault="00342997" w:rsidP="00342997">
      <w:pPr>
        <w:pStyle w:val="Pargrafo-1nvel"/>
        <w:numPr>
          <w:ilvl w:val="0"/>
          <w:numId w:val="0"/>
        </w:numPr>
        <w:rPr>
          <w:u w:val="single"/>
        </w:rPr>
      </w:pPr>
      <w:r>
        <w:rPr>
          <w:u w:val="single"/>
        </w:rPr>
        <w:t>II.2</w:t>
      </w:r>
      <w:r w:rsidRPr="004106A6">
        <w:rPr>
          <w:u w:val="single"/>
        </w:rPr>
        <w:t xml:space="preserve">.2. </w:t>
      </w:r>
      <w:r>
        <w:rPr>
          <w:u w:val="single"/>
        </w:rPr>
        <w:t>Análise do o</w:t>
      </w:r>
      <w:r w:rsidRPr="004106A6">
        <w:rPr>
          <w:u w:val="single"/>
        </w:rPr>
        <w:t>fício do CREA/RN</w:t>
      </w:r>
    </w:p>
    <w:p w:rsidR="00065A68" w:rsidRDefault="00342997" w:rsidP="00342997">
      <w:pPr>
        <w:pStyle w:val="Pargrafo-1nvel"/>
      </w:pPr>
      <w:r>
        <w:t>Assiste razão ao Sr. Presidente do Conselho quando afirma que a definição do índice de reajustamento seria uma função técnica, entretanto essa definição deve</w:t>
      </w:r>
      <w:r w:rsidR="00B56238">
        <w:t xml:space="preserve"> se</w:t>
      </w:r>
      <w:r>
        <w:t xml:space="preserve"> balizar pelos preceitos </w:t>
      </w:r>
      <w:r w:rsidR="009A217A">
        <w:t xml:space="preserve">técnicos e </w:t>
      </w:r>
      <w:r>
        <w:t>legais</w:t>
      </w:r>
      <w:r w:rsidR="00065A68">
        <w:t xml:space="preserve"> já citados</w:t>
      </w:r>
      <w:r w:rsidR="00B56238">
        <w:t>.</w:t>
      </w:r>
    </w:p>
    <w:p w:rsidR="006F2FB5" w:rsidRDefault="003673E7" w:rsidP="00342997">
      <w:pPr>
        <w:pStyle w:val="Pargrafo-1nvel"/>
      </w:pPr>
      <w:r>
        <w:t>Está</w:t>
      </w:r>
      <w:r w:rsidR="00342997">
        <w:t xml:space="preserve"> correto </w:t>
      </w:r>
      <w:r>
        <w:t xml:space="preserve">também </w:t>
      </w:r>
      <w:r w:rsidR="00342997">
        <w:t xml:space="preserve">quando afirma que </w:t>
      </w:r>
      <w:r w:rsidR="00065A68">
        <w:t>o serviço de concreto armado inclui custos com concreto, armação e forma, o que em nenhum momento foi negado nas análises efetuadas por esta Corte de Contas.</w:t>
      </w:r>
    </w:p>
    <w:p w:rsidR="00065A68" w:rsidRDefault="00065A68" w:rsidP="00342997">
      <w:pPr>
        <w:pStyle w:val="Pargrafo-1nvel"/>
      </w:pPr>
      <w:r>
        <w:t xml:space="preserve">Contudo, equivoca-se quando se perfila ao entendimento expresso no parecer do IBEC. </w:t>
      </w:r>
      <w:r w:rsidR="003673E7">
        <w:t>Também n</w:t>
      </w:r>
      <w:r>
        <w:t xml:space="preserve">ão </w:t>
      </w:r>
      <w:r w:rsidR="00FA3DEB">
        <w:t xml:space="preserve">há evidências de que </w:t>
      </w:r>
      <w:r>
        <w:t xml:space="preserve">o </w:t>
      </w:r>
      <w:r w:rsidR="003673E7">
        <w:t xml:space="preserve">presidente do CREA/RN </w:t>
      </w:r>
      <w:r w:rsidR="00FA3DEB">
        <w:t>tenha tido amplo acesso a</w:t>
      </w:r>
      <w:r w:rsidR="009A217A">
        <w:t xml:space="preserve">os presentes autos. </w:t>
      </w:r>
      <w:r w:rsidR="00FA3DEB">
        <w:t>De acordo com os documentos juntados, sua resposta</w:t>
      </w:r>
      <w:r w:rsidR="003673E7">
        <w:t xml:space="preserve"> se baseou em consulta formulada por um dos responsáveis, contendo </w:t>
      </w:r>
      <w:r w:rsidR="00B56238">
        <w:t>informaçõe</w:t>
      </w:r>
      <w:r w:rsidR="003673E7">
        <w:t xml:space="preserve">s superficiais </w:t>
      </w:r>
      <w:r w:rsidR="00B56238">
        <w:t xml:space="preserve">acerca </w:t>
      </w:r>
      <w:r w:rsidR="003673E7">
        <w:t>do processo.</w:t>
      </w:r>
    </w:p>
    <w:p w:rsidR="003673E7" w:rsidRDefault="003673E7" w:rsidP="003673E7">
      <w:pPr>
        <w:pStyle w:val="Ttulononumerado-1nvel"/>
        <w:rPr>
          <w:b w:val="0"/>
          <w:caps w:val="0"/>
          <w:u w:val="single"/>
        </w:rPr>
      </w:pPr>
      <w:r w:rsidRPr="003A5AE3">
        <w:rPr>
          <w:b w:val="0"/>
          <w:caps w:val="0"/>
          <w:u w:val="single"/>
        </w:rPr>
        <w:t>II.</w:t>
      </w:r>
      <w:r>
        <w:rPr>
          <w:b w:val="0"/>
          <w:caps w:val="0"/>
          <w:u w:val="single"/>
        </w:rPr>
        <w:t>3. Conclusão</w:t>
      </w:r>
    </w:p>
    <w:p w:rsidR="003673E7" w:rsidRPr="00F970B3" w:rsidRDefault="003673E7" w:rsidP="003673E7">
      <w:pPr>
        <w:pStyle w:val="Pargrafo-1nvel"/>
      </w:pPr>
      <w:r>
        <w:t xml:space="preserve">Quanto às questões de engenharia, não foram apresentados, nos recursos </w:t>
      </w:r>
      <w:r w:rsidR="00A6738B">
        <w:t>impetrados</w:t>
      </w:r>
      <w:r>
        <w:t xml:space="preserve"> pelos responsáveis em 11/6/2008, argumentos capazes de alterar o entendimento firmado no Acórdão </w:t>
      </w:r>
      <w:r w:rsidRPr="003673E7">
        <w:t>538/2008-TCU-Plenário</w:t>
      </w:r>
      <w:r>
        <w:t>.</w:t>
      </w:r>
    </w:p>
    <w:p w:rsidR="003673E7" w:rsidRDefault="003673E7" w:rsidP="003673E7">
      <w:pPr>
        <w:pStyle w:val="Ttulononumerado-1nvel"/>
        <w:rPr>
          <w:caps w:val="0"/>
        </w:rPr>
      </w:pPr>
      <w:r>
        <w:rPr>
          <w:caps w:val="0"/>
        </w:rPr>
        <w:t xml:space="preserve">III. </w:t>
      </w:r>
      <w:r w:rsidR="002678C4">
        <w:rPr>
          <w:caps w:val="0"/>
        </w:rPr>
        <w:t xml:space="preserve">Recurso de reconsideração </w:t>
      </w:r>
      <w:r w:rsidR="00B938FB" w:rsidRPr="00B938FB">
        <w:rPr>
          <w:caps w:val="0"/>
        </w:rPr>
        <w:t>apresentado em 23/8/2008</w:t>
      </w:r>
      <w:r w:rsidR="00B938FB">
        <w:rPr>
          <w:caps w:val="0"/>
        </w:rPr>
        <w:t xml:space="preserve"> pela empresa Construtora OAS Ltda. (Anexo IV, fls. 1-22)</w:t>
      </w:r>
    </w:p>
    <w:p w:rsidR="003673E7" w:rsidRPr="002678C4" w:rsidRDefault="002678C4" w:rsidP="003673E7">
      <w:pPr>
        <w:pStyle w:val="Pargrafo-1nvel"/>
        <w:numPr>
          <w:ilvl w:val="0"/>
          <w:numId w:val="0"/>
        </w:numPr>
        <w:rPr>
          <w:u w:val="single"/>
        </w:rPr>
      </w:pPr>
      <w:r w:rsidRPr="002678C4">
        <w:rPr>
          <w:u w:val="single"/>
        </w:rPr>
        <w:t>III.1. Argumentos referentes às questões de engenharia</w:t>
      </w:r>
    </w:p>
    <w:p w:rsidR="006F2FB5" w:rsidRDefault="002678C4" w:rsidP="002678C4">
      <w:pPr>
        <w:pStyle w:val="Pargrafo-1nvel"/>
      </w:pPr>
      <w:r>
        <w:t>Alega a empresa que a representatividade dos serviços ditos de estrutu</w:t>
      </w:r>
      <w:r w:rsidR="00A6738B">
        <w:t>ra metálica não seria de 86,40%</w:t>
      </w:r>
      <w:r>
        <w:t xml:space="preserve"> e sim de 48,50%, conforme Memorial Técnico em anexo, o qual será detalhado mais adiante.</w:t>
      </w:r>
    </w:p>
    <w:p w:rsidR="002678C4" w:rsidRDefault="002678C4" w:rsidP="0034182A">
      <w:pPr>
        <w:pStyle w:val="Pargrafo-1nvel"/>
      </w:pPr>
      <w:r>
        <w:t>Não se poderia apontar o índice de reajustamento cabível "com uma visão pontual do material, sem considerar o conjunto dos serviços e, principalmente, as variações nos preços praticados".</w:t>
      </w:r>
      <w:r w:rsidR="0034182A">
        <w:t xml:space="preserve"> </w:t>
      </w:r>
      <w:r>
        <w:t xml:space="preserve">Assim, considerando que </w:t>
      </w:r>
      <w:r w:rsidR="0034182A">
        <w:t>as camisas metálicas são parte integrante das estacas, que são de concreto armado, estaria correta a aplicação do índice utilizado, o da coluna 40.</w:t>
      </w:r>
    </w:p>
    <w:p w:rsidR="0034182A" w:rsidRDefault="0034182A" w:rsidP="0034182A">
      <w:pPr>
        <w:pStyle w:val="Pargrafo-1nvel"/>
      </w:pPr>
      <w:r>
        <w:t>A empresa apresenta a composição de custo para o concreto fck=15MPa, publicada pela Editora Pini, e a compara com a composição do subitem 2.1 da planilha de preç</w:t>
      </w:r>
      <w:r w:rsidR="00A6738B">
        <w:t>os do Contrato </w:t>
      </w:r>
      <w:r>
        <w:t xml:space="preserve">6/99. </w:t>
      </w:r>
      <w:r w:rsidR="00BE5E2C">
        <w:t>Dessa forma, a</w:t>
      </w:r>
      <w:r>
        <w:t>lega que</w:t>
      </w:r>
      <w:r w:rsidR="00BE5E2C">
        <w:t xml:space="preserve"> o percentual de aço no subitem 2.1 (59,02%) estaria próximo daquele da </w:t>
      </w:r>
      <w:r w:rsidR="00BE5E2C" w:rsidRPr="00BE5E2C">
        <w:t>composição da Pini</w:t>
      </w:r>
      <w:r w:rsidR="00BE5E2C">
        <w:t xml:space="preserve"> (43,72%). E ainda, pelo fato de, na composição da Pini, a soma dos percentuais do aço e da forma resultar em 83,18% do custo total do serviço, estaria correta a utilização do índice da coluna 40 para o reajustamento do serviço executado pela empresa.</w:t>
      </w:r>
    </w:p>
    <w:p w:rsidR="00BE5E2C" w:rsidRPr="002678C4" w:rsidRDefault="00BE5E2C" w:rsidP="00BE5E2C">
      <w:pPr>
        <w:pStyle w:val="Pargrafo-1nvel"/>
        <w:numPr>
          <w:ilvl w:val="0"/>
          <w:numId w:val="0"/>
        </w:numPr>
        <w:rPr>
          <w:u w:val="single"/>
        </w:rPr>
      </w:pPr>
      <w:r w:rsidRPr="002678C4">
        <w:rPr>
          <w:u w:val="single"/>
        </w:rPr>
        <w:t>III</w:t>
      </w:r>
      <w:r>
        <w:rPr>
          <w:u w:val="single"/>
        </w:rPr>
        <w:t>.1</w:t>
      </w:r>
      <w:r w:rsidRPr="002678C4">
        <w:rPr>
          <w:u w:val="single"/>
        </w:rPr>
        <w:t>.</w:t>
      </w:r>
      <w:r>
        <w:rPr>
          <w:u w:val="single"/>
        </w:rPr>
        <w:t>1.</w:t>
      </w:r>
      <w:r w:rsidRPr="002678C4">
        <w:rPr>
          <w:u w:val="single"/>
        </w:rPr>
        <w:t xml:space="preserve"> </w:t>
      </w:r>
      <w:r w:rsidR="006F4407">
        <w:rPr>
          <w:u w:val="single"/>
        </w:rPr>
        <w:t>Memorial anexo ao recurso de reconsideração</w:t>
      </w:r>
    </w:p>
    <w:p w:rsidR="00BE5E2C" w:rsidRDefault="006F4407" w:rsidP="00BE5E2C">
      <w:pPr>
        <w:pStyle w:val="Pargrafo-1nvel"/>
      </w:pPr>
      <w:r>
        <w:t>Consultando os autos, verifica-se que o Memorial apresentado pela empresa em anexo ao recurso de reconsideração (Anexo IV, fls. 10-22)</w:t>
      </w:r>
      <w:r w:rsidR="00B56238">
        <w:t>,</w:t>
      </w:r>
      <w:r>
        <w:t xml:space="preserve"> em 23/6/2008</w:t>
      </w:r>
      <w:r w:rsidR="00B56238">
        <w:t>,</w:t>
      </w:r>
      <w:r>
        <w:t xml:space="preserve"> já havia sido apresentado em 30/7/2007 (Vol. 6, fls. 243-255), conforme se verifica no despacho do então relator, Exmo. Ministro </w:t>
      </w:r>
      <w:r w:rsidR="00B56238">
        <w:t>Marcos</w:t>
      </w:r>
      <w:r>
        <w:t xml:space="preserve"> </w:t>
      </w:r>
      <w:r w:rsidR="0035302A">
        <w:t xml:space="preserve">Vinícios </w:t>
      </w:r>
      <w:r>
        <w:t>Vilaça (Vol. 6, fl. 242).</w:t>
      </w:r>
    </w:p>
    <w:p w:rsidR="006F4407" w:rsidRDefault="006F4407" w:rsidP="00BE5E2C">
      <w:pPr>
        <w:pStyle w:val="Pargrafo-1nvel"/>
      </w:pPr>
      <w:r>
        <w:t>No mesmo despacho</w:t>
      </w:r>
      <w:r w:rsidR="00B56238">
        <w:t>, o relator determinou a juntada</w:t>
      </w:r>
      <w:r>
        <w:t xml:space="preserve"> do documento aos autos e seu exame pela Secretaria de Fiscalização de Obras, que </w:t>
      </w:r>
      <w:r w:rsidR="006F13C6">
        <w:t>também consta dos autos (Vol. 6, fls. 256-259).</w:t>
      </w:r>
    </w:p>
    <w:p w:rsidR="003F0F94" w:rsidRDefault="003F0F94" w:rsidP="003F0F94">
      <w:pPr>
        <w:pStyle w:val="Pargrafo-1nvel"/>
        <w:numPr>
          <w:ilvl w:val="0"/>
          <w:numId w:val="0"/>
        </w:numPr>
      </w:pPr>
    </w:p>
    <w:p w:rsidR="00B56238" w:rsidRPr="002678C4" w:rsidRDefault="00B56238" w:rsidP="00B56238">
      <w:pPr>
        <w:pStyle w:val="Pargrafo-1nvel"/>
        <w:numPr>
          <w:ilvl w:val="0"/>
          <w:numId w:val="0"/>
        </w:numPr>
        <w:rPr>
          <w:u w:val="single"/>
        </w:rPr>
      </w:pPr>
      <w:r w:rsidRPr="002678C4">
        <w:rPr>
          <w:u w:val="single"/>
        </w:rPr>
        <w:lastRenderedPageBreak/>
        <w:t>III.</w:t>
      </w:r>
      <w:r>
        <w:rPr>
          <w:u w:val="single"/>
        </w:rPr>
        <w:t>2</w:t>
      </w:r>
      <w:r w:rsidRPr="002678C4">
        <w:rPr>
          <w:u w:val="single"/>
        </w:rPr>
        <w:t>. A</w:t>
      </w:r>
      <w:r>
        <w:rPr>
          <w:u w:val="single"/>
        </w:rPr>
        <w:t>nálise dos a</w:t>
      </w:r>
      <w:r w:rsidRPr="002678C4">
        <w:rPr>
          <w:u w:val="single"/>
        </w:rPr>
        <w:t>rgumentos referentes às questões de engenharia</w:t>
      </w:r>
    </w:p>
    <w:p w:rsidR="00B56238" w:rsidRDefault="00FF2F2D" w:rsidP="00B56238">
      <w:pPr>
        <w:pStyle w:val="Pargrafo-1nvel"/>
      </w:pPr>
      <w:r>
        <w:t>O percentual de 48,50% corresponde à soma dos subitens 2.1.1 e 2.1.2 – Fornecimento e solda das camisas metálicas. Acrescentando-se o subitem 2.1.3 – Cravação e contraventamento</w:t>
      </w:r>
      <w:r w:rsidR="00A6738B">
        <w:t xml:space="preserve"> –</w:t>
      </w:r>
      <w:r>
        <w:t xml:space="preserve">, serviços também afeitos </w:t>
      </w:r>
      <w:r w:rsidR="00A034AC">
        <w:t xml:space="preserve">à coluna 41 da FGV, o percentual sobe para 72,23%, o que só corrobora a inadequação da escolha </w:t>
      </w:r>
      <w:r w:rsidR="00A6738B">
        <w:t>d</w:t>
      </w:r>
      <w:r w:rsidR="00A034AC">
        <w:t>o índice da coluna 40 para o reajustamento dos serviços.</w:t>
      </w:r>
    </w:p>
    <w:p w:rsidR="00A6738B" w:rsidRDefault="00A6738B" w:rsidP="00A6738B">
      <w:pPr>
        <w:pStyle w:val="Pargrafo-1nvel"/>
      </w:pPr>
      <w:r>
        <w:t>A composição de custo apresentada pela empresa recorrente, concreto fck=15MPa fabricado em betoneira, não serve como parâmetro de comparação para o caso em tela. Para esse tipo de concreto armado, confeccionado em pequeno volume por betonada e em que a quantidade de cimento (insumo proporcionalmente mais caro) no traço é baixa, espera-se que o custo relativo da armadura seja consideravelmente mais representativo.</w:t>
      </w:r>
    </w:p>
    <w:p w:rsidR="00A6738B" w:rsidRDefault="00A6738B" w:rsidP="00A6738B">
      <w:pPr>
        <w:pStyle w:val="Pargrafo-1nvel"/>
      </w:pPr>
      <w:r>
        <w:t xml:space="preserve">O concreto normalmente utilizado em obras portuárias, onde o ambiente é naturalmente agressivo, trata-se de material de alto desempenho. Em geral, além da alta taxa de cimento no traço, deve-se acrescer também em sua composição aditivos químicos que garantam sua qualidade. Este tipo de concreto, devido às suas características e volume de emprego, só se consegue fabricar e empregar com a utilização de equipamentos especiais (central de concreto, balanças para a dosagem, caminhões-betoneira, bombas de concreto, guindastes, tubos </w:t>
      </w:r>
      <w:r w:rsidRPr="0049478E">
        <w:rPr>
          <w:i/>
        </w:rPr>
        <w:t>tremie</w:t>
      </w:r>
      <w:r>
        <w:t>, etc), além de demandar rígido controle de qualidade. Nessas condições, a parcela relativa apenas ao custo do concreto, dentro do serviço "concreto armado", é consideravelmente maior do que naquele serviço trazido aos autos para fins de comparação.</w:t>
      </w:r>
    </w:p>
    <w:p w:rsidR="00A034AC" w:rsidRDefault="00A034AC" w:rsidP="00A034AC">
      <w:pPr>
        <w:pStyle w:val="Pargrafo-1nvel"/>
      </w:pPr>
      <w:r>
        <w:t xml:space="preserve">Seria mais plausível considerar o peso </w:t>
      </w:r>
      <w:r w:rsidR="00A6738B">
        <w:t>do item</w:t>
      </w:r>
      <w:r>
        <w:t xml:space="preserve"> </w:t>
      </w:r>
      <w:r w:rsidR="00A6738B">
        <w:t>"</w:t>
      </w:r>
      <w:r w:rsidR="00FE1AA3">
        <w:t>armadura</w:t>
      </w:r>
      <w:r w:rsidR="00A6738B">
        <w:t>"</w:t>
      </w:r>
      <w:r>
        <w:t xml:space="preserve"> na estrutura de ponderação da própria FGV, que é quem apura o índice oficial, e não o da composição de custo do concreto </w:t>
      </w:r>
      <w:r w:rsidR="00A6738B">
        <w:t>menos resistente</w:t>
      </w:r>
      <w:r>
        <w:t xml:space="preserve"> da Editora Pini. Verificando a "cesta" de insumos que compõem a coluna 40 (Vol. 3, fls. 173-174), aqueles que se referem especificamente à parcela "</w:t>
      </w:r>
      <w:r w:rsidR="006152F4">
        <w:t>armadura</w:t>
      </w:r>
      <w:r>
        <w:t xml:space="preserve">" são: </w:t>
      </w:r>
      <w:r w:rsidR="006152F4">
        <w:t xml:space="preserve">aço </w:t>
      </w:r>
      <w:r>
        <w:t>(</w:t>
      </w:r>
      <w:r w:rsidR="006152F4">
        <w:t>16,2285</w:t>
      </w:r>
      <w:r>
        <w:t xml:space="preserve">%), </w:t>
      </w:r>
      <w:r w:rsidR="006152F4">
        <w:t>armador</w:t>
      </w:r>
      <w:r>
        <w:t xml:space="preserve"> (</w:t>
      </w:r>
      <w:r w:rsidR="006152F4">
        <w:t>3,6045</w:t>
      </w:r>
      <w:r>
        <w:t xml:space="preserve">%) e </w:t>
      </w:r>
      <w:r w:rsidR="006152F4">
        <w:t>arame recozido</w:t>
      </w:r>
      <w:r>
        <w:t xml:space="preserve"> (0,</w:t>
      </w:r>
      <w:r w:rsidR="006152F4">
        <w:t>3282</w:t>
      </w:r>
      <w:r>
        <w:t xml:space="preserve">%). </w:t>
      </w:r>
    </w:p>
    <w:p w:rsidR="00A034AC" w:rsidRDefault="00A034AC" w:rsidP="00A034AC">
      <w:pPr>
        <w:pStyle w:val="Pargrafo-1nvel"/>
      </w:pPr>
      <w:r>
        <w:t xml:space="preserve">Constata-se então que a participação do item </w:t>
      </w:r>
      <w:r w:rsidR="006152F4">
        <w:t>armadura</w:t>
      </w:r>
      <w:r>
        <w:t xml:space="preserve"> na composição da coluna 40 da FGV é de </w:t>
      </w:r>
      <w:r w:rsidR="006152F4">
        <w:t>20,16</w:t>
      </w:r>
      <w:r>
        <w:t xml:space="preserve">%, significativamente abaixo dos </w:t>
      </w:r>
      <w:r w:rsidR="006152F4">
        <w:t>43,72</w:t>
      </w:r>
      <w:r>
        <w:t xml:space="preserve">% da composição da Pini. E também, consideravelmente inferior </w:t>
      </w:r>
      <w:r w:rsidR="006152F4">
        <w:t>à porcentagem defendida pela recorrente</w:t>
      </w:r>
      <w:r>
        <w:t xml:space="preserve"> – </w:t>
      </w:r>
      <w:r w:rsidR="006152F4">
        <w:t>59,02</w:t>
      </w:r>
      <w:r>
        <w:t xml:space="preserve">% – que </w:t>
      </w:r>
      <w:r w:rsidRPr="00BD2A94">
        <w:t xml:space="preserve">corresponderia </w:t>
      </w:r>
      <w:r w:rsidR="006152F4">
        <w:t>ao total de aço</w:t>
      </w:r>
      <w:r w:rsidRPr="00BD2A94">
        <w:t xml:space="preserve"> do serviço </w:t>
      </w:r>
      <w:r>
        <w:t>em questão.</w:t>
      </w:r>
    </w:p>
    <w:p w:rsidR="004B55C3" w:rsidRDefault="004B55C3" w:rsidP="00A034AC">
      <w:pPr>
        <w:pStyle w:val="Pargrafo-1nvel"/>
      </w:pPr>
      <w:r>
        <w:t xml:space="preserve">Nesse ponto, cabe ainda apontar uma impropriedade cometida pela empresa. Não se pode somar os percentuais do aço CA-50 – que compõe a estrutura interna da estaca – com o do aço da camisa metálica e comparar esse percentual com a composição da Pini, que só considera o aço </w:t>
      </w:r>
      <w:r w:rsidR="00A6738B">
        <w:t>da estrutura interna</w:t>
      </w:r>
      <w:r>
        <w:t>.</w:t>
      </w:r>
    </w:p>
    <w:p w:rsidR="00A034AC" w:rsidRDefault="0035302A" w:rsidP="0035302A">
      <w:pPr>
        <w:pStyle w:val="Pargrafo-1nvel"/>
        <w:numPr>
          <w:ilvl w:val="0"/>
          <w:numId w:val="0"/>
        </w:numPr>
      </w:pPr>
      <w:r w:rsidRPr="0035302A">
        <w:rPr>
          <w:u w:val="single"/>
        </w:rPr>
        <w:t>III</w:t>
      </w:r>
      <w:r>
        <w:rPr>
          <w:u w:val="single"/>
        </w:rPr>
        <w:t>.2</w:t>
      </w:r>
      <w:r w:rsidRPr="0035302A">
        <w:rPr>
          <w:u w:val="single"/>
        </w:rPr>
        <w:t xml:space="preserve">.1. </w:t>
      </w:r>
      <w:r>
        <w:rPr>
          <w:u w:val="single"/>
        </w:rPr>
        <w:t xml:space="preserve">Análise do </w:t>
      </w:r>
      <w:r w:rsidRPr="0035302A">
        <w:rPr>
          <w:u w:val="single"/>
        </w:rPr>
        <w:t>Memorial anexo ao recurso de reconsideração</w:t>
      </w:r>
    </w:p>
    <w:p w:rsidR="0035302A" w:rsidRDefault="0035302A" w:rsidP="0035302A">
      <w:pPr>
        <w:pStyle w:val="Pargrafo-1nvel"/>
      </w:pPr>
      <w:r>
        <w:t>Compulsando os autos, constata-se que já houve uma instrução elaborada pela Secob</w:t>
      </w:r>
      <w:r w:rsidR="004B7049">
        <w:t>,</w:t>
      </w:r>
      <w:r>
        <w:t xml:space="preserve"> em 19/11/2007 (Vol. 6, fls. 256-259)</w:t>
      </w:r>
      <w:r w:rsidR="004B7049">
        <w:t>,</w:t>
      </w:r>
      <w:r>
        <w:t xml:space="preserve"> para analisar especificamente o Memorial ora apresentado, não se configurando o documento, portanto, como novo elemento no processo.</w:t>
      </w:r>
    </w:p>
    <w:p w:rsidR="00511019" w:rsidRDefault="00511019" w:rsidP="0035302A">
      <w:pPr>
        <w:pStyle w:val="Pargrafo-1nvel"/>
      </w:pPr>
      <w:r>
        <w:t xml:space="preserve">Em suma, a peça traz considerações acerca da opção por estacas concretadas </w:t>
      </w:r>
      <w:r w:rsidRPr="00511019">
        <w:rPr>
          <w:i/>
        </w:rPr>
        <w:t>in loco</w:t>
      </w:r>
      <w:r>
        <w:t xml:space="preserve"> e sua forma de execução. Tais informações não contribuem para o deslinde da questão fulcral.</w:t>
      </w:r>
    </w:p>
    <w:p w:rsidR="00511019" w:rsidRDefault="00511019" w:rsidP="0035302A">
      <w:pPr>
        <w:pStyle w:val="Pargrafo-1nvel"/>
      </w:pPr>
      <w:r>
        <w:t xml:space="preserve">Em seguida faz uso da composição de custo do concreto fck=15MPa, publicada pela Editora Pini, para tentar estabelecer correlação com o caso em tela. Conforme já exposto nesta instrução, tal comparação </w:t>
      </w:r>
      <w:r w:rsidR="005A6652">
        <w:t>é inadequada, devido às diferenças entre os materiais.</w:t>
      </w:r>
    </w:p>
    <w:p w:rsidR="0035302A" w:rsidRDefault="006C3B7C" w:rsidP="0035302A">
      <w:pPr>
        <w:pStyle w:val="Pargrafo-1nvel"/>
      </w:pPr>
      <w:r>
        <w:t xml:space="preserve">Mantém-se </w:t>
      </w:r>
      <w:r w:rsidR="004B7049">
        <w:t>inalterado o entendimento da unidade técnica, sintetizado n</w:t>
      </w:r>
      <w:r w:rsidR="0035302A">
        <w:t>o parágrafo final da</w:t>
      </w:r>
      <w:r w:rsidR="004B7049">
        <w:t>quela</w:t>
      </w:r>
      <w:r w:rsidR="0035302A">
        <w:t xml:space="preserve"> </w:t>
      </w:r>
      <w:r w:rsidR="005A6652">
        <w:t>instrução</w:t>
      </w:r>
      <w:r w:rsidR="0035302A">
        <w:t xml:space="preserve"> elaborada </w:t>
      </w:r>
      <w:r w:rsidR="005A6652">
        <w:t>para análise do Memorial</w:t>
      </w:r>
      <w:r w:rsidR="0035302A">
        <w:t>,</w:t>
      </w:r>
      <w:r w:rsidR="005A6652">
        <w:t xml:space="preserve"> </w:t>
      </w:r>
      <w:r w:rsidR="004B7049" w:rsidRPr="004B7049">
        <w:rPr>
          <w:i/>
        </w:rPr>
        <w:t>i</w:t>
      </w:r>
      <w:r w:rsidR="0035302A" w:rsidRPr="004B7049">
        <w:rPr>
          <w:i/>
        </w:rPr>
        <w:t>n verbis</w:t>
      </w:r>
      <w:r w:rsidR="0035302A">
        <w:t>:</w:t>
      </w:r>
    </w:p>
    <w:p w:rsidR="003F0F94" w:rsidRDefault="003F0F94" w:rsidP="003F0F94">
      <w:pPr>
        <w:pStyle w:val="Pargrafo-1nvel"/>
        <w:numPr>
          <w:ilvl w:val="0"/>
          <w:numId w:val="0"/>
        </w:numPr>
      </w:pPr>
    </w:p>
    <w:p w:rsidR="003F0F94" w:rsidRDefault="003F0F94" w:rsidP="003F0F94">
      <w:pPr>
        <w:pStyle w:val="Pargrafo-1nvel"/>
        <w:numPr>
          <w:ilvl w:val="0"/>
          <w:numId w:val="0"/>
        </w:numPr>
      </w:pPr>
    </w:p>
    <w:p w:rsidR="00B56238" w:rsidRPr="0035302A" w:rsidRDefault="0035302A" w:rsidP="00511019">
      <w:pPr>
        <w:pStyle w:val="Pargrafo-1nvel"/>
        <w:numPr>
          <w:ilvl w:val="0"/>
          <w:numId w:val="0"/>
        </w:numPr>
        <w:spacing w:before="60"/>
        <w:ind w:left="1134"/>
        <w:rPr>
          <w:rFonts w:eastAsia="Calibri"/>
          <w:sz w:val="22"/>
          <w:szCs w:val="22"/>
        </w:rPr>
      </w:pPr>
      <w:r w:rsidRPr="0035302A">
        <w:rPr>
          <w:rFonts w:eastAsia="Calibri"/>
          <w:sz w:val="22"/>
          <w:szCs w:val="22"/>
        </w:rPr>
        <w:lastRenderedPageBreak/>
        <w:t>14. Diante do exposto, conclui-se que os novos elementos trazidos aos autos pela OAS não foram suficientes para elidir a irregularidade apontada, permanecendo o entendimento de que os subitens 2.1.1, 2.1.2 e 2.1.3 devem ser reajustados pelos índices da coluna 41 do Índice de Obras Portuárias da FGV e os subitens 2.1.4 a 2.1.10 pelos da coluna 40. Persiste, portanto, o débito já calculado pela Secob, de R$ 208.231,39, a preços de 09/07/2001.</w:t>
      </w:r>
    </w:p>
    <w:p w:rsidR="005A6652" w:rsidRDefault="005A6652" w:rsidP="005A6652">
      <w:pPr>
        <w:pStyle w:val="Ttulononumerado-1nvel"/>
        <w:rPr>
          <w:b w:val="0"/>
          <w:caps w:val="0"/>
          <w:u w:val="single"/>
        </w:rPr>
      </w:pPr>
      <w:r w:rsidRPr="003A5AE3">
        <w:rPr>
          <w:b w:val="0"/>
          <w:caps w:val="0"/>
          <w:u w:val="single"/>
        </w:rPr>
        <w:t>II</w:t>
      </w:r>
      <w:r>
        <w:rPr>
          <w:b w:val="0"/>
          <w:caps w:val="0"/>
          <w:u w:val="single"/>
        </w:rPr>
        <w:t>I</w:t>
      </w:r>
      <w:r w:rsidRPr="003A5AE3">
        <w:rPr>
          <w:b w:val="0"/>
          <w:caps w:val="0"/>
          <w:u w:val="single"/>
        </w:rPr>
        <w:t>.</w:t>
      </w:r>
      <w:r>
        <w:rPr>
          <w:b w:val="0"/>
          <w:caps w:val="0"/>
          <w:u w:val="single"/>
        </w:rPr>
        <w:t>3. Conclusão</w:t>
      </w:r>
    </w:p>
    <w:p w:rsidR="005A6652" w:rsidRPr="00F970B3" w:rsidRDefault="005A6652" w:rsidP="005A6652">
      <w:pPr>
        <w:pStyle w:val="Pargrafo-1nvel"/>
      </w:pPr>
      <w:r>
        <w:t xml:space="preserve">Quanto às questões de engenharia, não foram apresentados, no recurso </w:t>
      </w:r>
      <w:r w:rsidR="004B7049">
        <w:t>impetrado</w:t>
      </w:r>
      <w:r>
        <w:t xml:space="preserve"> pela empresa Construtora OAS Ltda. em 23/8/2008, argumentos capazes de alterar o entendimento firmado no Acórdão </w:t>
      </w:r>
      <w:r w:rsidRPr="003673E7">
        <w:t>538/2008-TCU-Plenário</w:t>
      </w:r>
      <w:r>
        <w:t>.</w:t>
      </w:r>
    </w:p>
    <w:p w:rsidR="005A6652" w:rsidRDefault="005A6652" w:rsidP="005A6652">
      <w:pPr>
        <w:pStyle w:val="Ttulononumerado-1nvel"/>
        <w:rPr>
          <w:caps w:val="0"/>
        </w:rPr>
      </w:pPr>
      <w:r>
        <w:rPr>
          <w:caps w:val="0"/>
        </w:rPr>
        <w:t>IV. Memorial apresentado pelo responsável</w:t>
      </w:r>
      <w:r w:rsidR="004B7049">
        <w:rPr>
          <w:caps w:val="0"/>
        </w:rPr>
        <w:t>,</w:t>
      </w:r>
      <w:r>
        <w:rPr>
          <w:caps w:val="0"/>
        </w:rPr>
        <w:t xml:space="preserve"> Sr. Emerson Fernandes Daniel Júnior</w:t>
      </w:r>
      <w:r w:rsidR="004B7049">
        <w:rPr>
          <w:caps w:val="0"/>
        </w:rPr>
        <w:t>,</w:t>
      </w:r>
      <w:r>
        <w:rPr>
          <w:caps w:val="0"/>
        </w:rPr>
        <w:t xml:space="preserve"> em 24/3/2010</w:t>
      </w:r>
      <w:r w:rsidR="00B938FB">
        <w:rPr>
          <w:caps w:val="0"/>
        </w:rPr>
        <w:t xml:space="preserve"> </w:t>
      </w:r>
      <w:r w:rsidR="00B938FB" w:rsidRPr="00B938FB">
        <w:rPr>
          <w:caps w:val="0"/>
        </w:rPr>
        <w:t xml:space="preserve">(Anexo IV, fls. </w:t>
      </w:r>
      <w:r w:rsidR="00B938FB">
        <w:rPr>
          <w:caps w:val="0"/>
        </w:rPr>
        <w:t>40-53</w:t>
      </w:r>
      <w:r w:rsidR="00B938FB" w:rsidRPr="00B938FB">
        <w:rPr>
          <w:caps w:val="0"/>
        </w:rPr>
        <w:t>)</w:t>
      </w:r>
    </w:p>
    <w:p w:rsidR="005A6652" w:rsidRPr="002678C4" w:rsidRDefault="005A6652" w:rsidP="005A6652">
      <w:pPr>
        <w:pStyle w:val="Pargrafo-1nvel"/>
        <w:numPr>
          <w:ilvl w:val="0"/>
          <w:numId w:val="0"/>
        </w:numPr>
        <w:rPr>
          <w:u w:val="single"/>
        </w:rPr>
      </w:pPr>
      <w:r>
        <w:rPr>
          <w:u w:val="single"/>
        </w:rPr>
        <w:t>IV</w:t>
      </w:r>
      <w:r w:rsidRPr="002678C4">
        <w:rPr>
          <w:u w:val="single"/>
        </w:rPr>
        <w:t>.1. Argumentos referentes às questões de engenharia</w:t>
      </w:r>
    </w:p>
    <w:p w:rsidR="005A6652" w:rsidRDefault="00D83FB8" w:rsidP="005A6652">
      <w:pPr>
        <w:pStyle w:val="Pargrafo-1nvel"/>
      </w:pPr>
      <w:r>
        <w:t>O manifestante discorda da instrução elaborada pela Secretaria de Recursos deste Tribunal, em sede de apreciação de seu recurso de reconsideração. Alega que teriam sido ignorados o parecer do IBEC e o ofício do CREA/RN colacionados aos autos.</w:t>
      </w:r>
    </w:p>
    <w:p w:rsidR="00D83FB8" w:rsidRDefault="004C12EF" w:rsidP="005A6652">
      <w:pPr>
        <w:pStyle w:val="Pargrafo-1nvel"/>
      </w:pPr>
      <w:r>
        <w:t xml:space="preserve">Em suma, a peça não traz novos argumentos, pois apenas transcreve, </w:t>
      </w:r>
      <w:r w:rsidRPr="004C12EF">
        <w:rPr>
          <w:i/>
        </w:rPr>
        <w:t>ipsis literis</w:t>
      </w:r>
      <w:r>
        <w:t>, as alegações apresentadas no recurso de reconsideração</w:t>
      </w:r>
      <w:r w:rsidR="00B42F7C">
        <w:t>, já apreciado nesta instrução</w:t>
      </w:r>
      <w:r>
        <w:t>. Busca ainda realçar as constatações dos documentos do IBEC e do CREA/RN</w:t>
      </w:r>
      <w:r w:rsidR="00BB69A0">
        <w:t xml:space="preserve">. E, no </w:t>
      </w:r>
      <w:r>
        <w:t xml:space="preserve">final da manifestação, pede que lhe seja conferido o </w:t>
      </w:r>
      <w:r w:rsidR="00BB69A0">
        <w:t>mesmo tratamento dado em relação ao Porto de Maceió, em que o Tribunal aceitou o reajustamento da infraestrutura da obra com a utilização do índice da coluna 40.</w:t>
      </w:r>
    </w:p>
    <w:p w:rsidR="00BB69A0" w:rsidRPr="002678C4" w:rsidRDefault="00BB69A0" w:rsidP="00BB69A0">
      <w:pPr>
        <w:pStyle w:val="Pargrafo-1nvel"/>
        <w:numPr>
          <w:ilvl w:val="0"/>
          <w:numId w:val="0"/>
        </w:numPr>
        <w:rPr>
          <w:u w:val="single"/>
        </w:rPr>
      </w:pPr>
      <w:r>
        <w:rPr>
          <w:u w:val="single"/>
        </w:rPr>
        <w:t>IV.2</w:t>
      </w:r>
      <w:r w:rsidRPr="002678C4">
        <w:rPr>
          <w:u w:val="single"/>
        </w:rPr>
        <w:t>. A</w:t>
      </w:r>
      <w:r>
        <w:rPr>
          <w:u w:val="single"/>
        </w:rPr>
        <w:t>nálise dos a</w:t>
      </w:r>
      <w:r w:rsidRPr="002678C4">
        <w:rPr>
          <w:u w:val="single"/>
        </w:rPr>
        <w:t>rgumentos referentes às questões de engenharia</w:t>
      </w:r>
    </w:p>
    <w:p w:rsidR="00BB69A0" w:rsidRDefault="004B7049" w:rsidP="00BB69A0">
      <w:pPr>
        <w:pStyle w:val="Pargrafo-1nvel"/>
      </w:pPr>
      <w:r>
        <w:t>À</w:t>
      </w:r>
      <w:r w:rsidR="00BB69A0">
        <w:t xml:space="preserve"> análise desse Memorial</w:t>
      </w:r>
      <w:r>
        <w:t>,</w:t>
      </w:r>
      <w:r w:rsidR="00BB69A0">
        <w:t xml:space="preserve"> aproveita</w:t>
      </w:r>
      <w:r w:rsidR="007B27AD">
        <w:t>-se</w:t>
      </w:r>
      <w:r w:rsidR="00BB69A0">
        <w:t xml:space="preserve"> a análise dos recursos de reconsideração já realizada nesta instrução, constante dos parágrafos </w:t>
      </w:r>
      <w:r>
        <w:t>42 a 69</w:t>
      </w:r>
      <w:r w:rsidR="00BB69A0">
        <w:t>.</w:t>
      </w:r>
    </w:p>
    <w:p w:rsidR="00BB69A0" w:rsidRDefault="00BB69A0" w:rsidP="00BB69A0">
      <w:pPr>
        <w:pStyle w:val="Pargrafo-1nvel"/>
      </w:pPr>
      <w:r>
        <w:t xml:space="preserve">Ressalte-se que é descabido estender a interpretação dada no caso da obra do Porto de Maceió, onde foram utilizadas estacas de concreto </w:t>
      </w:r>
      <w:r w:rsidR="004B7049">
        <w:t>pré-moldado, ao presente caso, em que</w:t>
      </w:r>
      <w:r>
        <w:t xml:space="preserve"> são utilizadas camisas metálicas</w:t>
      </w:r>
      <w:r w:rsidR="004B7049">
        <w:t>,</w:t>
      </w:r>
      <w:r>
        <w:t xml:space="preserve"> cujo valor</w:t>
      </w:r>
      <w:r w:rsidR="004B7049">
        <w:t xml:space="preserve"> agregado</w:t>
      </w:r>
      <w:r>
        <w:t xml:space="preserve"> sobrepõe-se </w:t>
      </w:r>
      <w:r w:rsidR="004B7049">
        <w:t xml:space="preserve">em muito </w:t>
      </w:r>
      <w:r>
        <w:t>ao dos outros insumos.</w:t>
      </w:r>
    </w:p>
    <w:p w:rsidR="00B42F7C" w:rsidRDefault="00B42F7C" w:rsidP="00B42F7C">
      <w:pPr>
        <w:pStyle w:val="Ttulononumerado-1nvel"/>
        <w:rPr>
          <w:b w:val="0"/>
          <w:caps w:val="0"/>
          <w:u w:val="single"/>
        </w:rPr>
      </w:pPr>
      <w:r>
        <w:rPr>
          <w:b w:val="0"/>
          <w:caps w:val="0"/>
          <w:u w:val="single"/>
        </w:rPr>
        <w:t>IV</w:t>
      </w:r>
      <w:r w:rsidRPr="003A5AE3">
        <w:rPr>
          <w:b w:val="0"/>
          <w:caps w:val="0"/>
          <w:u w:val="single"/>
        </w:rPr>
        <w:t>.</w:t>
      </w:r>
      <w:r>
        <w:rPr>
          <w:b w:val="0"/>
          <w:caps w:val="0"/>
          <w:u w:val="single"/>
        </w:rPr>
        <w:t>3. Conclusão</w:t>
      </w:r>
    </w:p>
    <w:p w:rsidR="00B42F7C" w:rsidRPr="00F970B3" w:rsidRDefault="00B42F7C" w:rsidP="00B42F7C">
      <w:pPr>
        <w:pStyle w:val="Pargrafo-1nvel"/>
      </w:pPr>
      <w:r>
        <w:t xml:space="preserve">Quanto às questões de engenharia, não foram apresentados, no memorial </w:t>
      </w:r>
      <w:r w:rsidR="003A5155">
        <w:t>ofereci</w:t>
      </w:r>
      <w:r>
        <w:t xml:space="preserve">do pelo responsável, Sr. Emerson Fernandes Daniel Júnior, em 24/3/2010, argumentos capazes de alterar o entendimento firmado no Acórdão </w:t>
      </w:r>
      <w:r w:rsidRPr="003673E7">
        <w:t>538/2008-TCU-Plenário</w:t>
      </w:r>
      <w:r>
        <w:t>.</w:t>
      </w:r>
    </w:p>
    <w:p w:rsidR="00B42F7C" w:rsidRPr="00B42F7C" w:rsidRDefault="00B42F7C" w:rsidP="00B42F7C">
      <w:pPr>
        <w:pStyle w:val="Ttulononumerado-1nvel"/>
        <w:rPr>
          <w:caps w:val="0"/>
        </w:rPr>
      </w:pPr>
      <w:r>
        <w:rPr>
          <w:caps w:val="0"/>
        </w:rPr>
        <w:t>V. Memorial apresentado pel</w:t>
      </w:r>
      <w:r w:rsidRPr="00B42F7C">
        <w:rPr>
          <w:caps w:val="0"/>
        </w:rPr>
        <w:t>a</w:t>
      </w:r>
      <w:r>
        <w:rPr>
          <w:caps w:val="0"/>
        </w:rPr>
        <w:t xml:space="preserve"> empresa Construtora OAS Ltda. </w:t>
      </w:r>
      <w:r w:rsidRPr="00B42F7C">
        <w:rPr>
          <w:caps w:val="0"/>
        </w:rPr>
        <w:t>em </w:t>
      </w:r>
      <w:r>
        <w:rPr>
          <w:caps w:val="0"/>
        </w:rPr>
        <w:t>7/4/2011</w:t>
      </w:r>
      <w:r w:rsidR="00B938FB">
        <w:rPr>
          <w:caps w:val="0"/>
        </w:rPr>
        <w:t xml:space="preserve"> (Anexo IV, fls. 71-77</w:t>
      </w:r>
      <w:r w:rsidR="00B938FB" w:rsidRPr="00B938FB">
        <w:rPr>
          <w:caps w:val="0"/>
        </w:rPr>
        <w:t>)</w:t>
      </w:r>
    </w:p>
    <w:p w:rsidR="00B42F7C" w:rsidRPr="002678C4" w:rsidRDefault="00B42F7C" w:rsidP="00B42F7C">
      <w:pPr>
        <w:pStyle w:val="Pargrafo-1nvel"/>
        <w:numPr>
          <w:ilvl w:val="0"/>
          <w:numId w:val="0"/>
        </w:numPr>
        <w:rPr>
          <w:u w:val="single"/>
        </w:rPr>
      </w:pPr>
      <w:r>
        <w:rPr>
          <w:u w:val="single"/>
        </w:rPr>
        <w:t>V</w:t>
      </w:r>
      <w:r w:rsidRPr="002678C4">
        <w:rPr>
          <w:u w:val="single"/>
        </w:rPr>
        <w:t>.1. Argumentos referentes às questões de engenharia</w:t>
      </w:r>
    </w:p>
    <w:p w:rsidR="00B42F7C" w:rsidRDefault="00B42F7C" w:rsidP="00B42F7C">
      <w:pPr>
        <w:pStyle w:val="Pargrafo-1nvel"/>
      </w:pPr>
      <w:r>
        <w:t xml:space="preserve">A empresa discorda da instrução elaborada pela Secretaria de Recursos deste Tribunal, em sede de apreciação de seu recurso de reconsideração. Alega que não teria mudado seu posicionamento quanto à utilização do índice de reajustamento, mas tão somente procurou demonstrar que </w:t>
      </w:r>
      <w:r w:rsidR="004B55C3">
        <w:t>a porcentagem de 59,02%, que seria referente à taxa de aço no subitem 2.1, seria próxima à da composição da Pini</w:t>
      </w:r>
      <w:r>
        <w:t>.</w:t>
      </w:r>
    </w:p>
    <w:p w:rsidR="004B55C3" w:rsidRDefault="004B55C3" w:rsidP="00B42F7C">
      <w:pPr>
        <w:pStyle w:val="Pargrafo-1nvel"/>
      </w:pPr>
      <w:r>
        <w:t xml:space="preserve">Repisa que </w:t>
      </w:r>
      <w:r w:rsidR="00A22EC5">
        <w:t>os quantitativos de materiais nos elementos em questão não os tornaria diferentes de estruturas de concreto armado, portanto seria cabível o reajustamento pelo índice da coluna 40 da FGV.</w:t>
      </w:r>
    </w:p>
    <w:p w:rsidR="003F0F94" w:rsidRDefault="00A22EC5" w:rsidP="003F0F94">
      <w:pPr>
        <w:pStyle w:val="Pargrafo-1nvel"/>
      </w:pPr>
      <w:r>
        <w:t xml:space="preserve">Concluindo, a empresa menciona o Acórdão 1.588/2005-TCU-Plenário, </w:t>
      </w:r>
      <w:r w:rsidR="00CF079B">
        <w:t>prolatado no âmbito do TC 005.849/2002-4 (tomada de contas especial sobre irregularidades na obra do Porto de Maceió/AL)</w:t>
      </w:r>
      <w:r w:rsidR="005E720C">
        <w:t xml:space="preserve">, </w:t>
      </w:r>
      <w:r>
        <w:t xml:space="preserve">em que </w:t>
      </w:r>
      <w:r w:rsidR="005E720C">
        <w:t>foi acatado</w:t>
      </w:r>
      <w:r w:rsidR="00E43692">
        <w:t xml:space="preserve"> o reajustamento </w:t>
      </w:r>
      <w:r w:rsidR="005E720C">
        <w:t>pelo índice da coluna 40.</w:t>
      </w:r>
    </w:p>
    <w:p w:rsidR="00E43692" w:rsidRPr="002678C4" w:rsidRDefault="00E43692" w:rsidP="00E43692">
      <w:pPr>
        <w:pStyle w:val="Pargrafo-1nvel"/>
        <w:numPr>
          <w:ilvl w:val="0"/>
          <w:numId w:val="0"/>
        </w:numPr>
        <w:rPr>
          <w:u w:val="single"/>
        </w:rPr>
      </w:pPr>
      <w:r>
        <w:rPr>
          <w:u w:val="single"/>
        </w:rPr>
        <w:lastRenderedPageBreak/>
        <w:t>V.2</w:t>
      </w:r>
      <w:r w:rsidRPr="002678C4">
        <w:rPr>
          <w:u w:val="single"/>
        </w:rPr>
        <w:t>. A</w:t>
      </w:r>
      <w:r>
        <w:rPr>
          <w:u w:val="single"/>
        </w:rPr>
        <w:t>nálise dos a</w:t>
      </w:r>
      <w:r w:rsidRPr="002678C4">
        <w:rPr>
          <w:u w:val="single"/>
        </w:rPr>
        <w:t>rgumentos referentes às questões de engenharia</w:t>
      </w:r>
    </w:p>
    <w:p w:rsidR="00E43692" w:rsidRDefault="005E720C" w:rsidP="00E43692">
      <w:pPr>
        <w:pStyle w:val="Pargrafo-1nvel"/>
      </w:pPr>
      <w:r>
        <w:t>À</w:t>
      </w:r>
      <w:r w:rsidR="00E43692">
        <w:t xml:space="preserve"> análise desse Memorial</w:t>
      </w:r>
      <w:r>
        <w:t>,</w:t>
      </w:r>
      <w:r w:rsidR="00E43692">
        <w:t xml:space="preserve"> aproveita</w:t>
      </w:r>
      <w:r w:rsidR="00662394">
        <w:t>-se</w:t>
      </w:r>
      <w:r w:rsidR="00E43692">
        <w:t xml:space="preserve"> a análise dos recursos de reconsideração já realizada nesta instrução, constante dos parágrafos 7</w:t>
      </w:r>
      <w:r>
        <w:t>6</w:t>
      </w:r>
      <w:r w:rsidR="00E43692">
        <w:t xml:space="preserve"> a </w:t>
      </w:r>
      <w:r>
        <w:t>81</w:t>
      </w:r>
      <w:r w:rsidR="00E43692">
        <w:t>.</w:t>
      </w:r>
    </w:p>
    <w:p w:rsidR="00E43692" w:rsidRDefault="005E720C" w:rsidP="00E43692">
      <w:pPr>
        <w:pStyle w:val="Pargrafo-1nvel"/>
      </w:pPr>
      <w:r w:rsidRPr="005E720C">
        <w:t>Ressalte-se que é descabido estender a interpretação dada no caso da obra do Porto de Maceió, onde foram utilizadas estacas de concreto pré-moldado, ao presente caso, em que são utilizadas camisas metálicas, cujo valor agregado sobrepõe-se em muito ao dos outros insumos</w:t>
      </w:r>
      <w:r w:rsidR="00E43692">
        <w:t>.</w:t>
      </w:r>
    </w:p>
    <w:p w:rsidR="00E43692" w:rsidRDefault="00E43692" w:rsidP="00E43692">
      <w:pPr>
        <w:pStyle w:val="Ttulononumerado-1nvel"/>
        <w:rPr>
          <w:b w:val="0"/>
          <w:caps w:val="0"/>
          <w:u w:val="single"/>
        </w:rPr>
      </w:pPr>
      <w:r>
        <w:rPr>
          <w:b w:val="0"/>
          <w:caps w:val="0"/>
          <w:u w:val="single"/>
        </w:rPr>
        <w:t>V</w:t>
      </w:r>
      <w:r w:rsidRPr="003A5AE3">
        <w:rPr>
          <w:b w:val="0"/>
          <w:caps w:val="0"/>
          <w:u w:val="single"/>
        </w:rPr>
        <w:t>.</w:t>
      </w:r>
      <w:r>
        <w:rPr>
          <w:b w:val="0"/>
          <w:caps w:val="0"/>
          <w:u w:val="single"/>
        </w:rPr>
        <w:t>3. Conclusão</w:t>
      </w:r>
    </w:p>
    <w:p w:rsidR="00E43692" w:rsidRPr="00F970B3" w:rsidRDefault="00E43692" w:rsidP="00E43692">
      <w:pPr>
        <w:pStyle w:val="Pargrafo-1nvel"/>
      </w:pPr>
      <w:r>
        <w:t>Quanto às questões de engenharia, não f</w:t>
      </w:r>
      <w:r w:rsidR="005E720C">
        <w:t xml:space="preserve">oram apresentados, no memorial </w:t>
      </w:r>
      <w:r w:rsidR="003A5155">
        <w:t>ofereci</w:t>
      </w:r>
      <w:r>
        <w:t>do pela empresa Construtora OAS</w:t>
      </w:r>
      <w:r w:rsidR="00A91322">
        <w:t xml:space="preserve"> Ltda.</w:t>
      </w:r>
      <w:r>
        <w:t xml:space="preserve">, em 7/4/2011, argumentos capazes de alterar o entendimento firmado no Acórdão </w:t>
      </w:r>
      <w:r w:rsidRPr="003673E7">
        <w:t>538/2008-TCU-Plenário</w:t>
      </w:r>
      <w:r>
        <w:t>.</w:t>
      </w:r>
    </w:p>
    <w:p w:rsidR="00E43692" w:rsidRDefault="00E43692" w:rsidP="00E43692">
      <w:pPr>
        <w:pStyle w:val="Ttulononumerado-1nvel"/>
        <w:rPr>
          <w:caps w:val="0"/>
        </w:rPr>
      </w:pPr>
      <w:r>
        <w:rPr>
          <w:caps w:val="0"/>
        </w:rPr>
        <w:t>VI. Memorial apresentado pelo responsável</w:t>
      </w:r>
      <w:r w:rsidR="005E720C">
        <w:rPr>
          <w:caps w:val="0"/>
        </w:rPr>
        <w:t>,</w:t>
      </w:r>
      <w:r>
        <w:rPr>
          <w:caps w:val="0"/>
        </w:rPr>
        <w:t xml:space="preserve"> Sr. Emerson Fernandes Daniel Júnior</w:t>
      </w:r>
      <w:r w:rsidR="005E720C">
        <w:rPr>
          <w:caps w:val="0"/>
        </w:rPr>
        <w:t>,</w:t>
      </w:r>
      <w:r>
        <w:rPr>
          <w:caps w:val="0"/>
        </w:rPr>
        <w:t xml:space="preserve"> em 25/4/2011</w:t>
      </w:r>
      <w:r w:rsidR="00B938FB">
        <w:rPr>
          <w:caps w:val="0"/>
        </w:rPr>
        <w:t xml:space="preserve"> </w:t>
      </w:r>
      <w:r w:rsidR="00B938FB" w:rsidRPr="00B938FB">
        <w:rPr>
          <w:caps w:val="0"/>
        </w:rPr>
        <w:t xml:space="preserve">(Anexo IV, fls. </w:t>
      </w:r>
      <w:r w:rsidR="00B938FB">
        <w:rPr>
          <w:caps w:val="0"/>
        </w:rPr>
        <w:t>78-98</w:t>
      </w:r>
      <w:r w:rsidR="00B938FB" w:rsidRPr="00B938FB">
        <w:rPr>
          <w:caps w:val="0"/>
        </w:rPr>
        <w:t>)</w:t>
      </w:r>
    </w:p>
    <w:p w:rsidR="00E43692" w:rsidRPr="002678C4" w:rsidRDefault="00E43692" w:rsidP="00E43692">
      <w:pPr>
        <w:pStyle w:val="Pargrafo-1nvel"/>
        <w:numPr>
          <w:ilvl w:val="0"/>
          <w:numId w:val="0"/>
        </w:numPr>
        <w:rPr>
          <w:u w:val="single"/>
        </w:rPr>
      </w:pPr>
      <w:r>
        <w:rPr>
          <w:u w:val="single"/>
        </w:rPr>
        <w:t>VI</w:t>
      </w:r>
      <w:r w:rsidRPr="002678C4">
        <w:rPr>
          <w:u w:val="single"/>
        </w:rPr>
        <w:t>.1. Argumentos referentes às questões de engenharia</w:t>
      </w:r>
    </w:p>
    <w:p w:rsidR="006C00DA" w:rsidRDefault="00E43692" w:rsidP="00E43692">
      <w:pPr>
        <w:pStyle w:val="Pargrafo-1nvel"/>
      </w:pPr>
      <w:r>
        <w:t xml:space="preserve">O manifestante alega que seria descabida a afirmação de desobediência ao contrato, </w:t>
      </w:r>
      <w:r w:rsidR="00F97E9C">
        <w:t>pois a Comissão de Fiscalização utilizou o índice divulgado pela Fundação Getúlio Vargas</w:t>
      </w:r>
      <w:r>
        <w:t>.</w:t>
      </w:r>
      <w:r w:rsidR="00F97E9C">
        <w:t xml:space="preserve"> </w:t>
      </w:r>
    </w:p>
    <w:p w:rsidR="00E43692" w:rsidRDefault="00F97E9C" w:rsidP="00E43692">
      <w:pPr>
        <w:pStyle w:val="Pargrafo-1nvel"/>
      </w:pPr>
      <w:r>
        <w:t>Afirma ainda que o índice da coluna 40 foi criado especificamente para obras portuárias de concreto armado, "agregando especificidades próprias de tais serviços, aí incluída a cravação de estacas em elevada profundidade (dentro d'água) em concreto armado". E enumera as sete colunas que compõem os índices de obras portuárias da FGV.</w:t>
      </w:r>
    </w:p>
    <w:p w:rsidR="00F97E9C" w:rsidRDefault="00F97E9C" w:rsidP="00E43692">
      <w:pPr>
        <w:pStyle w:val="Pargrafo-1nvel"/>
      </w:pPr>
      <w:r>
        <w:t xml:space="preserve">Em seguida, repisa as constatações do parecer do IBEC e do ofício do CREA/RN, que são novamente anexados aos autos. Traz ainda argumentos já apresentados </w:t>
      </w:r>
      <w:r w:rsidR="00CF1EAE">
        <w:t>no processo</w:t>
      </w:r>
      <w:r>
        <w:t xml:space="preserve">, </w:t>
      </w:r>
      <w:r w:rsidR="00CF1EAE">
        <w:t xml:space="preserve">tais como o parecer do Eng. David Cabral (Vol. 5, fls. 195-199) e a alegação de que a especificação do aço utilizado no caso concreto – ASTM </w:t>
      </w:r>
      <w:r w:rsidR="008F6AFD">
        <w:t>A-</w:t>
      </w:r>
      <w:r w:rsidR="00CF1EAE">
        <w:t xml:space="preserve">36 – seria diferente da especificação do aço da composição da FGV – ASTM </w:t>
      </w:r>
      <w:r w:rsidR="008F6AFD">
        <w:t>A-</w:t>
      </w:r>
      <w:r w:rsidR="00CF1EAE">
        <w:t>120.</w:t>
      </w:r>
    </w:p>
    <w:p w:rsidR="00F97E9C" w:rsidRDefault="006C00DA" w:rsidP="00E43692">
      <w:pPr>
        <w:pStyle w:val="Pargrafo-1nvel"/>
      </w:pPr>
      <w:r>
        <w:t xml:space="preserve">Concluindo, o documento traz fotografias </w:t>
      </w:r>
      <w:r w:rsidR="002A4A42">
        <w:t>que seriam da obra em questão, mostrando</w:t>
      </w:r>
      <w:r>
        <w:t xml:space="preserve"> serviços referentes à implantação da infraestrutura, tais como cravação de camisas metálicas, colocação de armadura e concretagem.</w:t>
      </w:r>
    </w:p>
    <w:p w:rsidR="006C00DA" w:rsidRPr="002678C4" w:rsidRDefault="006C00DA" w:rsidP="006C00DA">
      <w:pPr>
        <w:pStyle w:val="Pargrafo-1nvel"/>
        <w:numPr>
          <w:ilvl w:val="0"/>
          <w:numId w:val="0"/>
        </w:numPr>
        <w:rPr>
          <w:u w:val="single"/>
        </w:rPr>
      </w:pPr>
      <w:r>
        <w:rPr>
          <w:u w:val="single"/>
        </w:rPr>
        <w:t>VI.2</w:t>
      </w:r>
      <w:r w:rsidRPr="002678C4">
        <w:rPr>
          <w:u w:val="single"/>
        </w:rPr>
        <w:t>. A</w:t>
      </w:r>
      <w:r>
        <w:rPr>
          <w:u w:val="single"/>
        </w:rPr>
        <w:t>nálise dos a</w:t>
      </w:r>
      <w:r w:rsidRPr="002678C4">
        <w:rPr>
          <w:u w:val="single"/>
        </w:rPr>
        <w:t>rgumentos referentes às questões de engenharia</w:t>
      </w:r>
    </w:p>
    <w:p w:rsidR="006C00DA" w:rsidRDefault="006C00DA" w:rsidP="006C00DA">
      <w:pPr>
        <w:pStyle w:val="Pargrafo-1nvel"/>
      </w:pPr>
      <w:r>
        <w:t>Não se verifica nos autos a afirmação de que a Comissão de Fiscalização teria descumprido o Contrato 6/99.</w:t>
      </w:r>
    </w:p>
    <w:p w:rsidR="00B43135" w:rsidRDefault="006C00DA" w:rsidP="006C00DA">
      <w:pPr>
        <w:pStyle w:val="Pargrafo-1nvel"/>
      </w:pPr>
      <w:r>
        <w:t xml:space="preserve">O manifestante incorre em erro ao afirmar que </w:t>
      </w:r>
      <w:r w:rsidR="00B43135">
        <w:t>a</w:t>
      </w:r>
      <w:r>
        <w:t xml:space="preserve"> coluna 40 – Estruturas e obras em concreto armado – contemplaria também o serviço de cravação de estacas, conforme se verifica </w:t>
      </w:r>
      <w:r w:rsidR="00B43135">
        <w:t xml:space="preserve">nas estruturas de custo fornecidas pela própria FGV, que é quem elabora o índice (Vol. 3, fls. 173-180). Tais planilhas constam dos autos desde a primeira instrução da Secex/RN em 25/10/2002. </w:t>
      </w:r>
    </w:p>
    <w:p w:rsidR="008F6AFD" w:rsidRDefault="00C44D29" w:rsidP="006C00DA">
      <w:pPr>
        <w:pStyle w:val="Pargrafo-1nvel"/>
      </w:pPr>
      <w:r>
        <w:t>J</w:t>
      </w:r>
      <w:r w:rsidR="00B43135">
        <w:t xml:space="preserve">á na apresentação de alegações de defesa no processo, em cumprimento ao Acórdão 1.742/2003-TCU-Plenário, os manifestantes demonstravam conhecimento </w:t>
      </w:r>
      <w:r w:rsidR="008F6AFD">
        <w:t xml:space="preserve">das composições, </w:t>
      </w:r>
      <w:r w:rsidR="00A91322">
        <w:t>ao afirmar</w:t>
      </w:r>
      <w:r w:rsidR="008F6AFD">
        <w:t xml:space="preserve"> diferenças entre as especificações do aço, o que voltou a se verificar neste Memorial em análise.</w:t>
      </w:r>
    </w:p>
    <w:p w:rsidR="006C00DA" w:rsidRDefault="008F6AFD" w:rsidP="006C00DA">
      <w:pPr>
        <w:pStyle w:val="Pargrafo-1nvel"/>
      </w:pPr>
      <w:r>
        <w:t xml:space="preserve">As considerações quanto ao parecer do IBEC e ao ofício do CREA/RN constam da presente instrução nos parágrafos </w:t>
      </w:r>
      <w:r w:rsidR="005E720C">
        <w:t>62 a 69</w:t>
      </w:r>
      <w:r>
        <w:t>.</w:t>
      </w:r>
    </w:p>
    <w:p w:rsidR="008F6AFD" w:rsidRDefault="008F6AFD" w:rsidP="006C00DA">
      <w:pPr>
        <w:pStyle w:val="Pargrafo-1nvel"/>
      </w:pPr>
      <w:r>
        <w:t>Cabe ainda trazer novamente à baila trechos da instrução realizada em 26/11/2004 pela Secex/RN (Vol. Principal, fl. 168), que permanecem válidos:</w:t>
      </w:r>
    </w:p>
    <w:p w:rsidR="003F0F94" w:rsidRDefault="003F0F94" w:rsidP="003F0F94">
      <w:pPr>
        <w:pStyle w:val="Pargrafo-1nvel"/>
        <w:numPr>
          <w:ilvl w:val="0"/>
          <w:numId w:val="0"/>
        </w:numPr>
      </w:pPr>
    </w:p>
    <w:p w:rsidR="008F6AFD" w:rsidRPr="008F6AFD" w:rsidRDefault="008F6AFD" w:rsidP="008F6AFD">
      <w:pPr>
        <w:pStyle w:val="Pargrafo-1nvel"/>
        <w:numPr>
          <w:ilvl w:val="0"/>
          <w:numId w:val="0"/>
        </w:numPr>
        <w:ind w:left="1134"/>
        <w:rPr>
          <w:rFonts w:eastAsia="Calibri"/>
          <w:sz w:val="22"/>
          <w:szCs w:val="22"/>
        </w:rPr>
      </w:pPr>
      <w:r w:rsidRPr="008F6AFD">
        <w:rPr>
          <w:rFonts w:eastAsia="Calibri"/>
          <w:sz w:val="22"/>
          <w:szCs w:val="22"/>
        </w:rPr>
        <w:lastRenderedPageBreak/>
        <w:t>6.3.3.6 Não assiste razão aos responsáveis quando afirmam que o aço utilizado na obra foi o ASTM A-36, de características diversas do presente na coluna 41 (ASTM A-120), e que, por conseguinte, este índice não poderia ser utilizado. Embora aços distintos, ambos são fabricados a partir dos mesmos insumos, sendo razoável afirmar que suas variações de preços devem aproximar-se. Em reforço, basta atentar para o fato de a própria CODERN utilizar, em obras no Terminal Salineiro de Areia Branca, a coluna 41 para reajustar item composto de aço ASTM A-36 (item 5.3.15), como demonstram as planilhas de fls. 139 e 140 (volume principal).</w:t>
      </w:r>
    </w:p>
    <w:p w:rsidR="008F6AFD" w:rsidRPr="008F6AFD" w:rsidRDefault="008F6AFD" w:rsidP="008F6AFD">
      <w:pPr>
        <w:pStyle w:val="Pargrafo-1nvel"/>
        <w:numPr>
          <w:ilvl w:val="0"/>
          <w:numId w:val="0"/>
        </w:numPr>
        <w:ind w:left="1134"/>
        <w:rPr>
          <w:sz w:val="22"/>
          <w:szCs w:val="22"/>
        </w:rPr>
      </w:pPr>
      <w:r w:rsidRPr="008F6AFD">
        <w:rPr>
          <w:rFonts w:eastAsia="Calibri"/>
          <w:sz w:val="22"/>
          <w:szCs w:val="22"/>
        </w:rPr>
        <w:t>(...) 6.3.5 Também não influem no mérito da questão as justificativas técnicas de fls. 198 e 199 (volume 5), assinadas pelo projetista da obra, porquanto não abordam qual índice de reajustamento deveria ser empregado, mas tão-só os motivos que levaram à escolha de estacas moldadas "in loco" para a infra-estrutura do cais.</w:t>
      </w:r>
    </w:p>
    <w:p w:rsidR="00E43692" w:rsidRDefault="002A4A42" w:rsidP="00E43692">
      <w:pPr>
        <w:pStyle w:val="Pargrafo-1nvel"/>
      </w:pPr>
      <w:r>
        <w:t>Nas fotografias apresentadas</w:t>
      </w:r>
      <w:r w:rsidR="003F0F94">
        <w:t xml:space="preserve"> pelo manifestante</w:t>
      </w:r>
      <w:r>
        <w:t xml:space="preserve">, pode-se perceber claramente </w:t>
      </w:r>
      <w:r w:rsidR="00885C04">
        <w:t>a predominância da</w:t>
      </w:r>
      <w:r>
        <w:t xml:space="preserve"> </w:t>
      </w:r>
      <w:r w:rsidR="00885C04">
        <w:t>utilização</w:t>
      </w:r>
      <w:r>
        <w:t xml:space="preserve"> de equipamentos e materiais que não constam da "cesta" da coluna</w:t>
      </w:r>
      <w:r w:rsidR="00885C04">
        <w:t xml:space="preserve"> 40 e sim da 41, tais como as camisas metálicas, o bate-estacas e o guindaste. Não se pode visualizar a estrutura de contraventamento metálico, isso se deve, provavelmente, ao fato de todas as fotografias expostas registrarem momentos em que a maré se encontrava alta.</w:t>
      </w:r>
    </w:p>
    <w:p w:rsidR="00885C04" w:rsidRDefault="00885C04" w:rsidP="00E43692">
      <w:pPr>
        <w:pStyle w:val="Pargrafo-1nvel"/>
      </w:pPr>
      <w:r>
        <w:t xml:space="preserve">No intuito de </w:t>
      </w:r>
      <w:r w:rsidR="006C0642">
        <w:t>aclarar no que</w:t>
      </w:r>
      <w:r>
        <w:t xml:space="preserve"> co</w:t>
      </w:r>
      <w:r w:rsidR="00CE77AE">
        <w:t>nsistem os trabalhos constantes d</w:t>
      </w:r>
      <w:r>
        <w:t>os subitens 2.1.1, 2.1.2 e 2.1.3</w:t>
      </w:r>
      <w:r w:rsidR="003F0F94">
        <w:t xml:space="preserve"> da planilha</w:t>
      </w:r>
      <w:r>
        <w:t>, que representam 72,23% do serviço em questão</w:t>
      </w:r>
      <w:r w:rsidR="006C0642">
        <w:t>, abaixo se encontram</w:t>
      </w:r>
      <w:r>
        <w:t xml:space="preserve"> fotografias ilustrativas</w:t>
      </w:r>
      <w:r w:rsidR="006C0642">
        <w:t xml:space="preserve"> dos referidos subitens</w:t>
      </w:r>
      <w:r>
        <w:t>:</w:t>
      </w:r>
    </w:p>
    <w:p w:rsidR="00885C04" w:rsidRDefault="00885C04" w:rsidP="00885C04">
      <w:pPr>
        <w:pStyle w:val="Pargrafo-1nvel"/>
        <w:numPr>
          <w:ilvl w:val="0"/>
          <w:numId w:val="0"/>
        </w:numPr>
      </w:pPr>
      <w:r>
        <w:rPr>
          <w:noProof/>
        </w:rPr>
        <w:drawing>
          <wp:inline distT="0" distB="0" distL="0" distR="0">
            <wp:extent cx="6119495" cy="3783508"/>
            <wp:effectExtent l="19050" t="0" r="0" b="0"/>
            <wp:docPr id="1" name="Imagem 1" descr="\\Secob-061275\Secob-4\SECOB-4_DT1\Porto de Vitória\2012\Fotos\Fotos do Relatório\Foto 10 - Descarga de camisas no cante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ob-061275\Secob-4\SECOB-4_DT1\Porto de Vitória\2012\Fotos\Fotos do Relatório\Foto 10 - Descarga de camisas no canteiro.jpg"/>
                    <pic:cNvPicPr>
                      <a:picLocks noChangeAspect="1" noChangeArrowheads="1"/>
                    </pic:cNvPicPr>
                  </pic:nvPicPr>
                  <pic:blipFill>
                    <a:blip r:embed="rId9" cstate="print"/>
                    <a:srcRect/>
                    <a:stretch>
                      <a:fillRect/>
                    </a:stretch>
                  </pic:blipFill>
                  <pic:spPr bwMode="auto">
                    <a:xfrm>
                      <a:off x="0" y="0"/>
                      <a:ext cx="6119495" cy="3783508"/>
                    </a:xfrm>
                    <a:prstGeom prst="rect">
                      <a:avLst/>
                    </a:prstGeom>
                    <a:noFill/>
                    <a:ln w="9525">
                      <a:noFill/>
                      <a:miter lim="800000"/>
                      <a:headEnd/>
                      <a:tailEnd/>
                    </a:ln>
                  </pic:spPr>
                </pic:pic>
              </a:graphicData>
            </a:graphic>
          </wp:inline>
        </w:drawing>
      </w:r>
    </w:p>
    <w:p w:rsidR="00AB2E4F" w:rsidRDefault="00885C04" w:rsidP="00885C04">
      <w:pPr>
        <w:pStyle w:val="Pargrafo-1nvel"/>
        <w:numPr>
          <w:ilvl w:val="0"/>
          <w:numId w:val="0"/>
        </w:numPr>
      </w:pPr>
      <w:r>
        <w:t xml:space="preserve">Foto 1 – </w:t>
      </w:r>
      <w:r w:rsidR="00AB2E4F">
        <w:t xml:space="preserve">Subitem 2.1.1 – </w:t>
      </w:r>
      <w:r>
        <w:t>Fornecimento de camisas metálicas</w:t>
      </w:r>
      <w:r w:rsidR="00E420BC">
        <w:t>.</w:t>
      </w:r>
    </w:p>
    <w:p w:rsidR="00AB2E4F" w:rsidRDefault="00AB2E4F" w:rsidP="00885C04">
      <w:pPr>
        <w:pStyle w:val="Pargrafo-1nvel"/>
        <w:numPr>
          <w:ilvl w:val="0"/>
          <w:numId w:val="0"/>
        </w:numPr>
      </w:pPr>
      <w:r>
        <w:rPr>
          <w:noProof/>
        </w:rPr>
        <w:lastRenderedPageBreak/>
        <w:drawing>
          <wp:inline distT="0" distB="0" distL="0" distR="0">
            <wp:extent cx="6119495" cy="4056336"/>
            <wp:effectExtent l="1905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119495" cy="4056336"/>
                    </a:xfrm>
                    <a:prstGeom prst="rect">
                      <a:avLst/>
                    </a:prstGeom>
                    <a:noFill/>
                    <a:ln w="9525">
                      <a:noFill/>
                      <a:miter lim="800000"/>
                      <a:headEnd/>
                      <a:tailEnd/>
                    </a:ln>
                  </pic:spPr>
                </pic:pic>
              </a:graphicData>
            </a:graphic>
          </wp:inline>
        </w:drawing>
      </w:r>
      <w:r>
        <w:t>Foto 2 – Subitem 2.1.2 – Solda das camisas metálicas</w:t>
      </w:r>
      <w:r w:rsidR="00E420BC">
        <w:t>.</w:t>
      </w:r>
    </w:p>
    <w:p w:rsidR="00AB2E4F" w:rsidRDefault="00AB2E4F" w:rsidP="00885C04">
      <w:pPr>
        <w:pStyle w:val="Pargrafo-1nvel"/>
        <w:numPr>
          <w:ilvl w:val="0"/>
          <w:numId w:val="0"/>
        </w:numPr>
      </w:pPr>
      <w:r>
        <w:rPr>
          <w:noProof/>
        </w:rPr>
        <w:drawing>
          <wp:inline distT="0" distB="0" distL="0" distR="0">
            <wp:extent cx="6122958" cy="4051371"/>
            <wp:effectExtent l="1905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133243" cy="4058176"/>
                    </a:xfrm>
                    <a:prstGeom prst="rect">
                      <a:avLst/>
                    </a:prstGeom>
                    <a:noFill/>
                    <a:ln w="9525">
                      <a:noFill/>
                      <a:miter lim="800000"/>
                      <a:headEnd/>
                      <a:tailEnd/>
                    </a:ln>
                  </pic:spPr>
                </pic:pic>
              </a:graphicData>
            </a:graphic>
          </wp:inline>
        </w:drawing>
      </w:r>
      <w:r>
        <w:t xml:space="preserve">Foto 3 – Subitem 2.1.3 </w:t>
      </w:r>
      <w:r w:rsidR="002C7E59">
        <w:t xml:space="preserve">(1ª parte) </w:t>
      </w:r>
      <w:r>
        <w:t>– Cravação da camisa metálica</w:t>
      </w:r>
      <w:r w:rsidR="00E420BC">
        <w:t>.</w:t>
      </w:r>
    </w:p>
    <w:p w:rsidR="00885C04" w:rsidRDefault="00AB2E4F" w:rsidP="00885C04">
      <w:pPr>
        <w:pStyle w:val="Pargrafo-1nvel"/>
        <w:numPr>
          <w:ilvl w:val="0"/>
          <w:numId w:val="0"/>
        </w:numPr>
      </w:pPr>
      <w:r>
        <w:rPr>
          <w:noProof/>
        </w:rPr>
        <w:lastRenderedPageBreak/>
        <w:drawing>
          <wp:inline distT="0" distB="0" distL="0" distR="0">
            <wp:extent cx="6010814" cy="4508446"/>
            <wp:effectExtent l="19050" t="0" r="8986" b="0"/>
            <wp:docPr id="4" name="Imagem 4" descr="D:\Users\jairomc\Desktop\contravent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jairomc\Desktop\contraventamento.jpg"/>
                    <pic:cNvPicPr>
                      <a:picLocks noChangeAspect="1" noChangeArrowheads="1"/>
                    </pic:cNvPicPr>
                  </pic:nvPicPr>
                  <pic:blipFill>
                    <a:blip r:embed="rId12" cstate="print"/>
                    <a:srcRect/>
                    <a:stretch>
                      <a:fillRect/>
                    </a:stretch>
                  </pic:blipFill>
                  <pic:spPr bwMode="auto">
                    <a:xfrm>
                      <a:off x="0" y="0"/>
                      <a:ext cx="6015570" cy="4512013"/>
                    </a:xfrm>
                    <a:prstGeom prst="rect">
                      <a:avLst/>
                    </a:prstGeom>
                    <a:noFill/>
                    <a:ln w="9525">
                      <a:noFill/>
                      <a:miter lim="800000"/>
                      <a:headEnd/>
                      <a:tailEnd/>
                    </a:ln>
                  </pic:spPr>
                </pic:pic>
              </a:graphicData>
            </a:graphic>
          </wp:inline>
        </w:drawing>
      </w:r>
      <w:r>
        <w:t xml:space="preserve"> </w:t>
      </w:r>
    </w:p>
    <w:p w:rsidR="00DC5B9F" w:rsidRDefault="00AB2E4F" w:rsidP="00DC5B9F">
      <w:pPr>
        <w:pStyle w:val="Pargrafo-1nvel"/>
        <w:numPr>
          <w:ilvl w:val="0"/>
          <w:numId w:val="0"/>
        </w:numPr>
      </w:pPr>
      <w:r>
        <w:t xml:space="preserve">Foto 4 – Subitem 2.1.3 </w:t>
      </w:r>
      <w:r w:rsidR="002C7E59">
        <w:t xml:space="preserve">(2ª parte) </w:t>
      </w:r>
      <w:r>
        <w:t>–</w:t>
      </w:r>
      <w:r w:rsidR="003946C5">
        <w:t xml:space="preserve"> Contraventame</w:t>
      </w:r>
      <w:r w:rsidR="00DC5B9F">
        <w:t>nto</w:t>
      </w:r>
      <w:r w:rsidR="009771F1">
        <w:t xml:space="preserve"> com perfis metálicos</w:t>
      </w:r>
      <w:r w:rsidR="00E420BC">
        <w:t>.</w:t>
      </w:r>
    </w:p>
    <w:p w:rsidR="003946C5" w:rsidRDefault="003946C5" w:rsidP="003946C5">
      <w:pPr>
        <w:pStyle w:val="Pargrafo-1nvel"/>
      </w:pPr>
      <w:r>
        <w:t>Mesmo uma pessoa sem conhecimentos aprofundados em engenharia pode perceber</w:t>
      </w:r>
      <w:r w:rsidR="006C0642">
        <w:t>,</w:t>
      </w:r>
      <w:r>
        <w:t xml:space="preserve"> </w:t>
      </w:r>
      <w:r w:rsidR="006C0642">
        <w:t>subjetiv</w:t>
      </w:r>
      <w:r>
        <w:t>amente</w:t>
      </w:r>
      <w:r w:rsidR="006C0642">
        <w:t>,</w:t>
      </w:r>
      <w:r>
        <w:t xml:space="preserve"> que os serviços ilustrados acima, que representam </w:t>
      </w:r>
      <w:r w:rsidR="00445ABE">
        <w:t>quase 3/4</w:t>
      </w:r>
      <w:r>
        <w:t xml:space="preserve"> do subitem 2.1, estão muito mais próximos da coluna 41 do que da 40, embora as camisas posteriormente sejam preenchidas com concreto armado. De fato, conforme já exposto, todas essas atividades estão </w:t>
      </w:r>
      <w:r w:rsidR="003A5155">
        <w:t xml:space="preserve">claramente </w:t>
      </w:r>
      <w:r>
        <w:t>contempladas na coluna 41 e não na 40.</w:t>
      </w:r>
    </w:p>
    <w:p w:rsidR="003A5155" w:rsidRDefault="003A5155" w:rsidP="003946C5">
      <w:pPr>
        <w:pStyle w:val="Pargrafo-1nvel"/>
      </w:pPr>
      <w:r>
        <w:t>Ressalte-se ainda que, em análise conservadora, foram expurgados do cálculo do débito aqueles subitens do serviço que estariam mais relacionados à coluna 40.</w:t>
      </w:r>
    </w:p>
    <w:p w:rsidR="00DC5B9F" w:rsidRDefault="00DC5B9F" w:rsidP="003946C5">
      <w:pPr>
        <w:pStyle w:val="Pargrafo-1nvel"/>
      </w:pPr>
      <w:r>
        <w:t xml:space="preserve">Também de forma ilustrativa, </w:t>
      </w:r>
      <w:r w:rsidR="0087435C">
        <w:t>a seguir</w:t>
      </w:r>
      <w:r>
        <w:t xml:space="preserve"> </w:t>
      </w:r>
      <w:r w:rsidR="0087435C">
        <w:t>pode-se verificar</w:t>
      </w:r>
      <w:r>
        <w:t xml:space="preserve"> uma fotografia de estacas </w:t>
      </w:r>
      <w:r w:rsidR="00E420BC">
        <w:t xml:space="preserve">protendidas </w:t>
      </w:r>
      <w:r>
        <w:t xml:space="preserve">de concreto pré-moldado, tais como as utilizadas na obra do Porto de Maceió, em que se pode </w:t>
      </w:r>
      <w:r w:rsidR="0087435C">
        <w:t>visualiza</w:t>
      </w:r>
      <w:r>
        <w:t xml:space="preserve">r as </w:t>
      </w:r>
      <w:r w:rsidR="00E420BC">
        <w:t>nítidas diferenças em relação ao presente caso.</w:t>
      </w:r>
    </w:p>
    <w:p w:rsidR="00E420BC" w:rsidRDefault="00E420BC" w:rsidP="00E420BC">
      <w:pPr>
        <w:pStyle w:val="Pargrafo-1nvel"/>
        <w:numPr>
          <w:ilvl w:val="0"/>
          <w:numId w:val="0"/>
        </w:numPr>
      </w:pPr>
      <w:r>
        <w:rPr>
          <w:rFonts w:ascii="Arial" w:hAnsi="Arial" w:cs="Arial"/>
          <w:noProof/>
          <w:sz w:val="20"/>
        </w:rPr>
        <w:lastRenderedPageBreak/>
        <w:drawing>
          <wp:inline distT="0" distB="0" distL="0" distR="0">
            <wp:extent cx="6088452" cy="4572433"/>
            <wp:effectExtent l="19050" t="0" r="7548" b="0"/>
            <wp:docPr id="8" name="il_fi" descr="http://br.all.biz/img/br/catalog/73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r.all.biz/img/br/catalog/73106.png"/>
                    <pic:cNvPicPr>
                      <a:picLocks noChangeAspect="1" noChangeArrowheads="1"/>
                    </pic:cNvPicPr>
                  </pic:nvPicPr>
                  <pic:blipFill>
                    <a:blip r:embed="rId13" cstate="print"/>
                    <a:srcRect/>
                    <a:stretch>
                      <a:fillRect/>
                    </a:stretch>
                  </pic:blipFill>
                  <pic:spPr bwMode="auto">
                    <a:xfrm>
                      <a:off x="0" y="0"/>
                      <a:ext cx="6091497" cy="4574719"/>
                    </a:xfrm>
                    <a:prstGeom prst="rect">
                      <a:avLst/>
                    </a:prstGeom>
                    <a:noFill/>
                    <a:ln w="9525">
                      <a:noFill/>
                      <a:miter lim="800000"/>
                      <a:headEnd/>
                      <a:tailEnd/>
                    </a:ln>
                  </pic:spPr>
                </pic:pic>
              </a:graphicData>
            </a:graphic>
          </wp:inline>
        </w:drawing>
      </w:r>
    </w:p>
    <w:p w:rsidR="00E420BC" w:rsidRDefault="00E420BC" w:rsidP="00E420BC">
      <w:pPr>
        <w:pStyle w:val="Pargrafo-1nvel"/>
        <w:numPr>
          <w:ilvl w:val="0"/>
          <w:numId w:val="0"/>
        </w:numPr>
      </w:pPr>
      <w:r>
        <w:t>Foto 5 – Estacas de concreto pré-moldado.</w:t>
      </w:r>
    </w:p>
    <w:p w:rsidR="006C0642" w:rsidRDefault="006C0642" w:rsidP="006C0642">
      <w:pPr>
        <w:pStyle w:val="Ttulononumerado-1nvel"/>
        <w:rPr>
          <w:b w:val="0"/>
          <w:caps w:val="0"/>
          <w:u w:val="single"/>
        </w:rPr>
      </w:pPr>
      <w:r>
        <w:rPr>
          <w:b w:val="0"/>
          <w:caps w:val="0"/>
          <w:u w:val="single"/>
        </w:rPr>
        <w:t>VI</w:t>
      </w:r>
      <w:r w:rsidRPr="003A5AE3">
        <w:rPr>
          <w:b w:val="0"/>
          <w:caps w:val="0"/>
          <w:u w:val="single"/>
        </w:rPr>
        <w:t>.</w:t>
      </w:r>
      <w:r>
        <w:rPr>
          <w:b w:val="0"/>
          <w:caps w:val="0"/>
          <w:u w:val="single"/>
        </w:rPr>
        <w:t>3. Conclusão</w:t>
      </w:r>
    </w:p>
    <w:p w:rsidR="006C0642" w:rsidRPr="00F970B3" w:rsidRDefault="006C0642" w:rsidP="006C0642">
      <w:pPr>
        <w:pStyle w:val="Pargrafo-1nvel"/>
      </w:pPr>
      <w:r>
        <w:t xml:space="preserve">Quanto às questões de engenharia, não foram apresentados, </w:t>
      </w:r>
      <w:r w:rsidRPr="006C0642">
        <w:t xml:space="preserve">no memorial </w:t>
      </w:r>
      <w:r w:rsidR="003A5155">
        <w:t>oferecid</w:t>
      </w:r>
      <w:r w:rsidRPr="006C0642">
        <w:t xml:space="preserve">o pelo responsável, Sr. Emerson Fernandes Daniel Júnior, em </w:t>
      </w:r>
      <w:r>
        <w:t xml:space="preserve">25/4/2011, argumentos capazes de alterar o entendimento firmado no Acórdão </w:t>
      </w:r>
      <w:r w:rsidRPr="003673E7">
        <w:t>538/2008-TCU-Plenário</w:t>
      </w:r>
      <w:r>
        <w:t>.</w:t>
      </w:r>
    </w:p>
    <w:p w:rsidR="006C0642" w:rsidRPr="00B42F7C" w:rsidRDefault="006C0642" w:rsidP="006C0642">
      <w:pPr>
        <w:pStyle w:val="Ttulononumerado-1nvel"/>
        <w:rPr>
          <w:caps w:val="0"/>
        </w:rPr>
      </w:pPr>
      <w:r>
        <w:rPr>
          <w:caps w:val="0"/>
        </w:rPr>
        <w:t>VI</w:t>
      </w:r>
      <w:r w:rsidR="005D5718">
        <w:rPr>
          <w:caps w:val="0"/>
        </w:rPr>
        <w:t>I</w:t>
      </w:r>
      <w:r>
        <w:rPr>
          <w:caps w:val="0"/>
        </w:rPr>
        <w:t>. Memorial apresentado pel</w:t>
      </w:r>
      <w:r w:rsidRPr="00B42F7C">
        <w:rPr>
          <w:caps w:val="0"/>
        </w:rPr>
        <w:t>a</w:t>
      </w:r>
      <w:r>
        <w:rPr>
          <w:caps w:val="0"/>
        </w:rPr>
        <w:t xml:space="preserve"> empresa Construtora OAS Ltda. </w:t>
      </w:r>
      <w:r w:rsidRPr="00B42F7C">
        <w:rPr>
          <w:caps w:val="0"/>
        </w:rPr>
        <w:t>em </w:t>
      </w:r>
      <w:r w:rsidR="005D5718">
        <w:rPr>
          <w:caps w:val="0"/>
        </w:rPr>
        <w:t>12/8/</w:t>
      </w:r>
      <w:r>
        <w:rPr>
          <w:caps w:val="0"/>
        </w:rPr>
        <w:t>2011</w:t>
      </w:r>
      <w:r w:rsidR="00B938FB">
        <w:rPr>
          <w:caps w:val="0"/>
        </w:rPr>
        <w:t xml:space="preserve"> </w:t>
      </w:r>
      <w:r w:rsidR="00B938FB" w:rsidRPr="00B938FB">
        <w:rPr>
          <w:caps w:val="0"/>
        </w:rPr>
        <w:t>(Anexo IV, fls. 1</w:t>
      </w:r>
      <w:r w:rsidR="00B938FB">
        <w:rPr>
          <w:caps w:val="0"/>
        </w:rPr>
        <w:t>00-106</w:t>
      </w:r>
      <w:r w:rsidR="00B938FB" w:rsidRPr="00B938FB">
        <w:rPr>
          <w:caps w:val="0"/>
        </w:rPr>
        <w:t>)</w:t>
      </w:r>
    </w:p>
    <w:p w:rsidR="006C0642" w:rsidRPr="002678C4" w:rsidRDefault="006C0642" w:rsidP="006C0642">
      <w:pPr>
        <w:pStyle w:val="Pargrafo-1nvel"/>
        <w:numPr>
          <w:ilvl w:val="0"/>
          <w:numId w:val="0"/>
        </w:numPr>
        <w:rPr>
          <w:u w:val="single"/>
        </w:rPr>
      </w:pPr>
      <w:r>
        <w:rPr>
          <w:u w:val="single"/>
        </w:rPr>
        <w:t>V</w:t>
      </w:r>
      <w:r w:rsidR="005D5718">
        <w:rPr>
          <w:u w:val="single"/>
        </w:rPr>
        <w:t>II</w:t>
      </w:r>
      <w:r w:rsidRPr="002678C4">
        <w:rPr>
          <w:u w:val="single"/>
        </w:rPr>
        <w:t>.1. Argumentos referentes às questões de engenharia</w:t>
      </w:r>
    </w:p>
    <w:p w:rsidR="005D5718" w:rsidRPr="005D5718" w:rsidRDefault="005D5718" w:rsidP="005D5718">
      <w:pPr>
        <w:pStyle w:val="Pargrafo-1nvel"/>
        <w:rPr>
          <w:u w:val="single"/>
        </w:rPr>
      </w:pPr>
      <w:r w:rsidRPr="005D5718">
        <w:t xml:space="preserve">Em suma, a peça não traz novos argumentos, pois apenas transcreve, </w:t>
      </w:r>
      <w:r w:rsidRPr="005D5718">
        <w:rPr>
          <w:i/>
        </w:rPr>
        <w:t>ipsis literis</w:t>
      </w:r>
      <w:r w:rsidRPr="005D5718">
        <w:t xml:space="preserve">, as alegações apresentadas no </w:t>
      </w:r>
      <w:r>
        <w:t>Memorial apresentado em 7/4/2011</w:t>
      </w:r>
      <w:r w:rsidRPr="005D5718">
        <w:t>, já apreciado nesta instrução</w:t>
      </w:r>
      <w:r w:rsidR="003A5155">
        <w:t xml:space="preserve"> (item V)</w:t>
      </w:r>
      <w:r w:rsidRPr="005D5718">
        <w:t xml:space="preserve">. </w:t>
      </w:r>
    </w:p>
    <w:p w:rsidR="006C0642" w:rsidRPr="002678C4" w:rsidRDefault="006C0642" w:rsidP="005D5718">
      <w:pPr>
        <w:pStyle w:val="Pargrafo-1nvel"/>
        <w:numPr>
          <w:ilvl w:val="0"/>
          <w:numId w:val="0"/>
        </w:numPr>
        <w:rPr>
          <w:u w:val="single"/>
        </w:rPr>
      </w:pPr>
      <w:r>
        <w:rPr>
          <w:u w:val="single"/>
        </w:rPr>
        <w:t>V</w:t>
      </w:r>
      <w:r w:rsidR="005D5718">
        <w:rPr>
          <w:u w:val="single"/>
        </w:rPr>
        <w:t>II</w:t>
      </w:r>
      <w:r>
        <w:rPr>
          <w:u w:val="single"/>
        </w:rPr>
        <w:t>.2</w:t>
      </w:r>
      <w:r w:rsidRPr="002678C4">
        <w:rPr>
          <w:u w:val="single"/>
        </w:rPr>
        <w:t>. A</w:t>
      </w:r>
      <w:r>
        <w:rPr>
          <w:u w:val="single"/>
        </w:rPr>
        <w:t>nálise dos a</w:t>
      </w:r>
      <w:r w:rsidRPr="002678C4">
        <w:rPr>
          <w:u w:val="single"/>
        </w:rPr>
        <w:t>rgumentos referentes às questões de engenharia</w:t>
      </w:r>
    </w:p>
    <w:p w:rsidR="006C0642" w:rsidRDefault="003F0F94" w:rsidP="006C0642">
      <w:pPr>
        <w:pStyle w:val="Pargrafo-1nvel"/>
      </w:pPr>
      <w:r>
        <w:t>À</w:t>
      </w:r>
      <w:r w:rsidR="006C0642">
        <w:t xml:space="preserve"> análise desse Memorial</w:t>
      </w:r>
      <w:r>
        <w:t>,</w:t>
      </w:r>
      <w:r w:rsidR="006C0642">
        <w:t xml:space="preserve"> aproveita</w:t>
      </w:r>
      <w:r w:rsidR="00673447">
        <w:t>-se</w:t>
      </w:r>
      <w:r w:rsidR="006C0642">
        <w:t xml:space="preserve"> a análise </w:t>
      </w:r>
      <w:r w:rsidR="00731F30">
        <w:t>do Memorial tratado no item V,</w:t>
      </w:r>
      <w:r w:rsidR="006C0642">
        <w:t xml:space="preserve"> já realizada nesta instrução, constante dos parágrafos </w:t>
      </w:r>
      <w:r w:rsidR="00731F30">
        <w:t>9</w:t>
      </w:r>
      <w:r w:rsidR="003A5155">
        <w:t>5</w:t>
      </w:r>
      <w:r w:rsidR="00731F30">
        <w:t xml:space="preserve"> e 9</w:t>
      </w:r>
      <w:r w:rsidR="003A5155">
        <w:t>6</w:t>
      </w:r>
      <w:r w:rsidR="006C0642">
        <w:t>.</w:t>
      </w:r>
    </w:p>
    <w:p w:rsidR="006C0642" w:rsidRDefault="006C0642" w:rsidP="006C0642">
      <w:pPr>
        <w:pStyle w:val="Ttulononumerado-1nvel"/>
        <w:rPr>
          <w:b w:val="0"/>
          <w:caps w:val="0"/>
          <w:u w:val="single"/>
        </w:rPr>
      </w:pPr>
      <w:r>
        <w:rPr>
          <w:b w:val="0"/>
          <w:caps w:val="0"/>
          <w:u w:val="single"/>
        </w:rPr>
        <w:t>V</w:t>
      </w:r>
      <w:r w:rsidR="00731F30">
        <w:rPr>
          <w:b w:val="0"/>
          <w:caps w:val="0"/>
          <w:u w:val="single"/>
        </w:rPr>
        <w:t>II</w:t>
      </w:r>
      <w:r w:rsidRPr="003A5AE3">
        <w:rPr>
          <w:b w:val="0"/>
          <w:caps w:val="0"/>
          <w:u w:val="single"/>
        </w:rPr>
        <w:t>.</w:t>
      </w:r>
      <w:r>
        <w:rPr>
          <w:b w:val="0"/>
          <w:caps w:val="0"/>
          <w:u w:val="single"/>
        </w:rPr>
        <w:t>3. Conclusão</w:t>
      </w:r>
    </w:p>
    <w:p w:rsidR="00625242" w:rsidRPr="00CC4D8A" w:rsidRDefault="006C0642" w:rsidP="00CC4D8A">
      <w:pPr>
        <w:pStyle w:val="Pargrafo-1nvel"/>
      </w:pPr>
      <w:r>
        <w:t xml:space="preserve">Quanto às questões de engenharia, não foram apresentados, no memorial </w:t>
      </w:r>
      <w:r w:rsidR="003A5155">
        <w:t>ofereci</w:t>
      </w:r>
      <w:r>
        <w:t xml:space="preserve">do pela empresa Construtora OAS Ltda., em </w:t>
      </w:r>
      <w:r w:rsidR="00731F30">
        <w:t>12/8</w:t>
      </w:r>
      <w:r>
        <w:t xml:space="preserve">/2011, argumentos capazes de alterar o entendimento firmado no Acórdão </w:t>
      </w:r>
      <w:r w:rsidRPr="003673E7">
        <w:t>538/2008-TCU-Plenário</w:t>
      </w:r>
      <w:r>
        <w:t>.</w:t>
      </w:r>
    </w:p>
    <w:p w:rsidR="008261C2" w:rsidRDefault="008261C2" w:rsidP="00BE194F">
      <w:pPr>
        <w:pStyle w:val="Pargrafo-1nvel"/>
        <w:numPr>
          <w:ilvl w:val="0"/>
          <w:numId w:val="0"/>
        </w:numPr>
        <w:rPr>
          <w:b/>
        </w:rPr>
      </w:pPr>
    </w:p>
    <w:p w:rsidR="008261C2" w:rsidRDefault="008261C2" w:rsidP="00BE194F">
      <w:pPr>
        <w:pStyle w:val="Pargrafo-1nvel"/>
        <w:numPr>
          <w:ilvl w:val="0"/>
          <w:numId w:val="0"/>
        </w:numPr>
        <w:rPr>
          <w:b/>
        </w:rPr>
      </w:pPr>
    </w:p>
    <w:p w:rsidR="00625242" w:rsidRPr="00974808" w:rsidRDefault="00625242" w:rsidP="00BE194F">
      <w:pPr>
        <w:pStyle w:val="Pargrafo-1nvel"/>
        <w:numPr>
          <w:ilvl w:val="0"/>
          <w:numId w:val="0"/>
        </w:numPr>
        <w:rPr>
          <w:b/>
        </w:rPr>
      </w:pPr>
      <w:r w:rsidRPr="00625242">
        <w:rPr>
          <w:b/>
        </w:rPr>
        <w:lastRenderedPageBreak/>
        <w:t>INFORMAÇÕES ADICIONAIS</w:t>
      </w:r>
    </w:p>
    <w:p w:rsidR="00625242" w:rsidRDefault="00CC4D8A" w:rsidP="007D7FD6">
      <w:pPr>
        <w:pStyle w:val="Pargrafo-1nvel"/>
      </w:pPr>
      <w:r>
        <w:t>Analisando as instruções elaboradas pela Secretaria de Recursos (Anexo IV, fls. 27-34 e 54-61), em sede de análise dos recursos de reconsideração e Memorial apresentados, não se verificam pontos a reformar, relativos às questões específicas de engenharia</w:t>
      </w:r>
      <w:r w:rsidR="002E21C8">
        <w:t xml:space="preserve">. </w:t>
      </w:r>
    </w:p>
    <w:p w:rsidR="00BE194F" w:rsidRDefault="00BD2B70" w:rsidP="007D7FD6">
      <w:pPr>
        <w:pStyle w:val="Ttulononumerado-1nvel"/>
      </w:pPr>
      <w:r>
        <w:t>Conclusão</w:t>
      </w:r>
    </w:p>
    <w:p w:rsidR="00CC4D8A" w:rsidRPr="00CC4D8A" w:rsidRDefault="00CC4D8A" w:rsidP="00CC4D8A">
      <w:pPr>
        <w:pStyle w:val="Pargrafo-1nvel"/>
      </w:pPr>
      <w:r>
        <w:t xml:space="preserve">Quanto às questões de engenharia, não foram apresentados, </w:t>
      </w:r>
      <w:r w:rsidR="00DC144E">
        <w:t>nos recursos de reconsideração e memoriais analisados</w:t>
      </w:r>
      <w:r>
        <w:t xml:space="preserve">, argumentos capazes de alterar o entendimento firmado no Acórdão </w:t>
      </w:r>
      <w:r w:rsidRPr="003673E7">
        <w:t>538/2008-TCU-Plenário</w:t>
      </w:r>
      <w:r>
        <w:t>.</w:t>
      </w:r>
    </w:p>
    <w:p w:rsidR="005817CD" w:rsidRDefault="00E6527C" w:rsidP="005817CD">
      <w:pPr>
        <w:pStyle w:val="Ttulononumerado-1nvel"/>
      </w:pPr>
      <w:r>
        <w:t>PROPOSTA DE ENCAMINHAMENTO</w:t>
      </w:r>
    </w:p>
    <w:p w:rsidR="005817CD" w:rsidRDefault="00E6527C" w:rsidP="00477803">
      <w:pPr>
        <w:pStyle w:val="Pargrafo-1nvel"/>
      </w:pPr>
      <w:r>
        <w:t xml:space="preserve">Ante todo o exposto, </w:t>
      </w:r>
      <w:r w:rsidR="003F0F94">
        <w:t xml:space="preserve">submetem-se os autos a considerações superiores, propondo </w:t>
      </w:r>
      <w:r w:rsidR="00974808">
        <w:t>enca</w:t>
      </w:r>
      <w:r w:rsidR="003F0F94">
        <w:t>minhá-los</w:t>
      </w:r>
      <w:r w:rsidR="00DC144E">
        <w:t xml:space="preserve"> ao gabinete do Exmo</w:t>
      </w:r>
      <w:r w:rsidR="00974808">
        <w:t>.</w:t>
      </w:r>
      <w:r w:rsidR="00DC144E">
        <w:t xml:space="preserve"> Ministro</w:t>
      </w:r>
      <w:r w:rsidR="00974808">
        <w:t xml:space="preserve"> </w:t>
      </w:r>
      <w:r w:rsidR="003F0F94">
        <w:t xml:space="preserve">Relator </w:t>
      </w:r>
      <w:r w:rsidR="00DC144E">
        <w:t>Valmir Campelo</w:t>
      </w:r>
      <w:r w:rsidR="00974808">
        <w:t xml:space="preserve">, </w:t>
      </w:r>
      <w:r w:rsidR="00DC144E">
        <w:t>informando que</w:t>
      </w:r>
      <w:r w:rsidR="003F0F94">
        <w:t>,</w:t>
      </w:r>
      <w:r w:rsidR="00DC144E">
        <w:t xml:space="preserve"> em relação </w:t>
      </w:r>
      <w:r w:rsidR="00DC144E" w:rsidRPr="00DC144E">
        <w:t>às questões de engenharia, não foram apresentados, nos recursos de reconsideração e memoriais analisados, argumentos capazes de alterar o entendimento firmado no Acórdão 538/2008-TCU-Plenário</w:t>
      </w:r>
      <w:r w:rsidR="003F0F94">
        <w:t>.</w:t>
      </w:r>
    </w:p>
    <w:p w:rsidR="005817CD" w:rsidRDefault="005817CD" w:rsidP="005817CD">
      <w:pPr>
        <w:pStyle w:val="Pargrafo-1nvel"/>
        <w:numPr>
          <w:ilvl w:val="0"/>
          <w:numId w:val="0"/>
        </w:numPr>
      </w:pPr>
    </w:p>
    <w:p w:rsidR="00BC2E26" w:rsidRDefault="00686EB2" w:rsidP="00295235">
      <w:pPr>
        <w:pStyle w:val="Fecho"/>
        <w:tabs>
          <w:tab w:val="left" w:pos="284"/>
        </w:tabs>
        <w:ind w:left="1134"/>
        <w:jc w:val="left"/>
      </w:pPr>
      <w:r>
        <w:t>Secob-4</w:t>
      </w:r>
      <w:r w:rsidR="00BC2E26" w:rsidRPr="00686EB2">
        <w:t xml:space="preserve">, </w:t>
      </w:r>
      <w:r w:rsidR="001465BB">
        <w:t>1</w:t>
      </w:r>
      <w:r w:rsidR="00212F5B">
        <w:t xml:space="preserve">ª DT, </w:t>
      </w:r>
      <w:r w:rsidR="00C44D29">
        <w:t>11 de outubro</w:t>
      </w:r>
      <w:bookmarkStart w:id="0" w:name="_GoBack"/>
      <w:bookmarkEnd w:id="0"/>
      <w:r w:rsidR="0039537F">
        <w:t xml:space="preserve"> de 2012</w:t>
      </w:r>
      <w:r>
        <w:t>.</w:t>
      </w:r>
    </w:p>
    <w:p w:rsidR="00686EB2" w:rsidRDefault="00686EB2" w:rsidP="00981BA5">
      <w:pPr>
        <w:pStyle w:val="Fecho"/>
      </w:pPr>
    </w:p>
    <w:p w:rsidR="00981BA5" w:rsidRDefault="00981BA5" w:rsidP="00981BA5">
      <w:pPr>
        <w:pStyle w:val="Fecho"/>
      </w:pPr>
    </w:p>
    <w:p w:rsidR="00686EB2" w:rsidRDefault="001465BB" w:rsidP="00981BA5">
      <w:pPr>
        <w:pStyle w:val="Fecho"/>
      </w:pPr>
      <w:r>
        <w:t>Jairo Misson Cordeiro</w:t>
      </w:r>
    </w:p>
    <w:p w:rsidR="00686EB2" w:rsidRDefault="00686EB2" w:rsidP="00981BA5">
      <w:pPr>
        <w:pStyle w:val="Fecho"/>
      </w:pPr>
      <w:r>
        <w:t xml:space="preserve">AUFC – matrícula </w:t>
      </w:r>
      <w:r w:rsidR="001465BB">
        <w:t>9445-5</w:t>
      </w:r>
    </w:p>
    <w:p w:rsidR="00CF6A3A" w:rsidRDefault="00CF6A3A" w:rsidP="00CF6A3A">
      <w:pPr>
        <w:pStyle w:val="Fecho"/>
        <w:jc w:val="left"/>
      </w:pPr>
    </w:p>
    <w:p w:rsidR="00A266EF" w:rsidRDefault="00A266EF" w:rsidP="00981BA5">
      <w:pPr>
        <w:pStyle w:val="Fecho"/>
      </w:pPr>
    </w:p>
    <w:p w:rsidR="00A266EF" w:rsidRPr="00686EB2" w:rsidRDefault="00A266EF" w:rsidP="00A266EF">
      <w:pPr>
        <w:pStyle w:val="Fecho"/>
        <w:jc w:val="left"/>
      </w:pPr>
    </w:p>
    <w:sectPr w:rsidR="00A266EF" w:rsidRPr="00686EB2" w:rsidSect="00C83A35">
      <w:headerReference w:type="default" r:id="rId14"/>
      <w:pgSz w:w="11906" w:h="16838" w:code="9"/>
      <w:pgMar w:top="1871" w:right="851" w:bottom="765" w:left="1418" w:header="851" w:footer="652"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5E24" w:rsidRDefault="00EF5E24" w:rsidP="00EA6AB5">
      <w:r>
        <w:separator/>
      </w:r>
    </w:p>
  </w:endnote>
  <w:endnote w:type="continuationSeparator" w:id="0">
    <w:p w:rsidR="00EF5E24" w:rsidRDefault="00EF5E24" w:rsidP="00EA6A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5E24" w:rsidRDefault="00EF5E24" w:rsidP="00EA6AB5">
      <w:r>
        <w:separator/>
      </w:r>
    </w:p>
  </w:footnote>
  <w:footnote w:type="continuationSeparator" w:id="0">
    <w:p w:rsidR="00EF5E24" w:rsidRDefault="00EF5E24" w:rsidP="00EA6A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79B" w:rsidRPr="00C83A35" w:rsidRDefault="00C44D29" w:rsidP="00C83A35">
    <w:pPr>
      <w:pStyle w:val="Cabealho"/>
    </w:pPr>
    <w:r>
      <w:rPr>
        <w:noProof/>
      </w:rPr>
      <mc:AlternateContent>
        <mc:Choice Requires="wps">
          <w:drawing>
            <wp:anchor distT="0" distB="0" distL="114300" distR="114300" simplePos="0" relativeHeight="251659264" behindDoc="0" locked="0" layoutInCell="1" allowOverlap="1">
              <wp:simplePos x="0" y="0"/>
              <wp:positionH relativeFrom="column">
                <wp:posOffset>5255260</wp:posOffset>
              </wp:positionH>
              <wp:positionV relativeFrom="paragraph">
                <wp:posOffset>231140</wp:posOffset>
              </wp:positionV>
              <wp:extent cx="837565" cy="315595"/>
              <wp:effectExtent l="0" t="2540" r="3175"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079B" w:rsidRDefault="00EF5E24" w:rsidP="00C83A35">
                          <w:pPr>
                            <w:jc w:val="right"/>
                          </w:pPr>
                          <w:r>
                            <w:fldChar w:fldCharType="begin"/>
                          </w:r>
                          <w:r>
                            <w:instrText xml:space="preserve"> PAGE   \* MERGEFORMAT </w:instrText>
                          </w:r>
                          <w:r>
                            <w:fldChar w:fldCharType="separate"/>
                          </w:r>
                          <w:r w:rsidR="00C44D29">
                            <w:rPr>
                              <w:noProof/>
                            </w:rPr>
                            <w:t>17</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13.8pt;margin-top:18.2pt;width:65.95pt;height:2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UnltQIAALg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" filled="f" stroked="f">
              <v:textbox>
                <w:txbxContent>
                  <w:p w:rsidR="00CF079B" w:rsidRDefault="00EF5E24" w:rsidP="00C83A35">
                    <w:pPr>
                      <w:jc w:val="right"/>
                    </w:pPr>
                    <w:r>
                      <w:fldChar w:fldCharType="begin"/>
                    </w:r>
                    <w:r>
                      <w:instrText xml:space="preserve"> PAGE   \* MERGEFORMAT </w:instrText>
                    </w:r>
                    <w:r>
                      <w:fldChar w:fldCharType="separate"/>
                    </w:r>
                    <w:r w:rsidR="00C44D29">
                      <w:rPr>
                        <w:noProof/>
                      </w:rPr>
                      <w:t>17</w:t>
                    </w:r>
                    <w:r>
                      <w:rPr>
                        <w:noProof/>
                      </w:rPr>
                      <w:fldChar w:fldCharType="end"/>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margin">
                <wp:posOffset>547370</wp:posOffset>
              </wp:positionH>
              <wp:positionV relativeFrom="page">
                <wp:posOffset>565150</wp:posOffset>
              </wp:positionV>
              <wp:extent cx="2879725" cy="521970"/>
              <wp:effectExtent l="4445" t="3175" r="190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521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079B" w:rsidRDefault="00CF079B" w:rsidP="00C83A35">
                          <w:pPr>
                            <w:spacing w:before="0"/>
                            <w:rPr>
                              <w:rFonts w:ascii="Arial" w:hAnsi="Arial" w:cs="Arial"/>
                              <w:b/>
                              <w:sz w:val="20"/>
                            </w:rPr>
                          </w:pPr>
                          <w:r>
                            <w:rPr>
                              <w:rFonts w:ascii="Arial" w:hAnsi="Arial" w:cs="Arial"/>
                              <w:b/>
                              <w:sz w:val="20"/>
                            </w:rPr>
                            <w:t>TRIBUNAL DE CONTAS DA UNIÃO</w:t>
                          </w:r>
                        </w:p>
                        <w:p w:rsidR="00CF079B" w:rsidRDefault="00CF079B" w:rsidP="00C83A35">
                          <w:pPr>
                            <w:spacing w:before="0"/>
                            <w:rPr>
                              <w:rFonts w:ascii="Arial" w:hAnsi="Arial" w:cs="Arial"/>
                              <w:b/>
                              <w:sz w:val="20"/>
                            </w:rPr>
                          </w:pPr>
                          <w:r>
                            <w:rPr>
                              <w:rFonts w:ascii="Arial" w:hAnsi="Arial" w:cs="Arial"/>
                              <w:b/>
                              <w:sz w:val="20"/>
                            </w:rPr>
                            <w:t>Secretaria-Geral de Controle Externo</w:t>
                          </w:r>
                        </w:p>
                        <w:p w:rsidR="00CF079B" w:rsidRPr="00C83A35" w:rsidRDefault="00CF079B" w:rsidP="00C83A35">
                          <w:pPr>
                            <w:spacing w:before="0"/>
                            <w:rPr>
                              <w:rFonts w:ascii="Arial" w:hAnsi="Arial" w:cs="Arial"/>
                              <w:b/>
                              <w:sz w:val="20"/>
                            </w:rPr>
                          </w:pPr>
                          <w:r>
                            <w:rPr>
                              <w:rFonts w:ascii="Arial" w:hAnsi="Arial" w:cs="Arial"/>
                              <w:b/>
                              <w:sz w:val="20"/>
                            </w:rPr>
                            <w:t>4ª Secretaria de Fiscalização de Obras</w:t>
                          </w:r>
                        </w:p>
                      </w:txbxContent>
                    </wps:txbx>
                    <wps:bodyPr rot="0" vert="horz" wrap="square" lIns="91440" tIns="35941"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43.1pt;margin-top:44.5pt;width:226.75pt;height:41.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" stroked="f">
              <v:textbox inset=",2.83pt">
                <w:txbxContent>
                  <w:p w:rsidR="00CF079B" w:rsidRDefault="00CF079B" w:rsidP="00C83A35">
                    <w:pPr>
                      <w:spacing w:before="0"/>
                      <w:rPr>
                        <w:rFonts w:ascii="Arial" w:hAnsi="Arial" w:cs="Arial"/>
                        <w:b/>
                        <w:sz w:val="20"/>
                      </w:rPr>
                    </w:pPr>
                    <w:r>
                      <w:rPr>
                        <w:rFonts w:ascii="Arial" w:hAnsi="Arial" w:cs="Arial"/>
                        <w:b/>
                        <w:sz w:val="20"/>
                      </w:rPr>
                      <w:t>TRIBUNAL DE CONTAS DA UNIÃO</w:t>
                    </w:r>
                  </w:p>
                  <w:p w:rsidR="00CF079B" w:rsidRDefault="00CF079B" w:rsidP="00C83A35">
                    <w:pPr>
                      <w:spacing w:before="0"/>
                      <w:rPr>
                        <w:rFonts w:ascii="Arial" w:hAnsi="Arial" w:cs="Arial"/>
                        <w:b/>
                        <w:sz w:val="20"/>
                      </w:rPr>
                    </w:pPr>
                    <w:r>
                      <w:rPr>
                        <w:rFonts w:ascii="Arial" w:hAnsi="Arial" w:cs="Arial"/>
                        <w:b/>
                        <w:sz w:val="20"/>
                      </w:rPr>
                      <w:t>Secretaria-Geral de Controle Externo</w:t>
                    </w:r>
                  </w:p>
                  <w:p w:rsidR="00CF079B" w:rsidRPr="00C83A35" w:rsidRDefault="00CF079B" w:rsidP="00C83A35">
                    <w:pPr>
                      <w:spacing w:before="0"/>
                      <w:rPr>
                        <w:rFonts w:ascii="Arial" w:hAnsi="Arial" w:cs="Arial"/>
                        <w:b/>
                        <w:sz w:val="20"/>
                      </w:rPr>
                    </w:pPr>
                    <w:r>
                      <w:rPr>
                        <w:rFonts w:ascii="Arial" w:hAnsi="Arial" w:cs="Arial"/>
                        <w:b/>
                        <w:sz w:val="20"/>
                      </w:rPr>
                      <w:t>4ª Secretaria de Fiscalização de Obras</w:t>
                    </w:r>
                  </w:p>
                </w:txbxContent>
              </v:textbox>
              <w10:wrap anchorx="margin" anchory="page"/>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margin">
                <wp:posOffset>0</wp:posOffset>
              </wp:positionH>
              <wp:positionV relativeFrom="paragraph">
                <wp:posOffset>575945</wp:posOffset>
              </wp:positionV>
              <wp:extent cx="6120130" cy="0"/>
              <wp:effectExtent l="9525" t="13970" r="13970" b="5080"/>
              <wp:wrapNone/>
              <wp:docPr id="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45.35pt" to="481.9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">
              <w10:wrap anchorx="margin"/>
            </v:line>
          </w:pict>
        </mc:Fallback>
      </mc:AlternateContent>
    </w:r>
    <w:r w:rsidR="00CF079B">
      <w:rPr>
        <w:noProof/>
      </w:rPr>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542925" cy="542925"/>
          <wp:effectExtent l="19050" t="0" r="9525" b="0"/>
          <wp:wrapNone/>
          <wp:docPr id="1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srcRect/>
                  <a:stretch>
                    <a:fillRect/>
                  </a:stretch>
                </pic:blipFill>
                <pic:spPr bwMode="auto">
                  <a:xfrm>
                    <a:off x="0" y="0"/>
                    <a:ext cx="542925" cy="5429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322C2"/>
    <w:multiLevelType w:val="multilevel"/>
    <w:tmpl w:val="5C9C4BFA"/>
    <w:lvl w:ilvl="0">
      <w:start w:val="1"/>
      <w:numFmt w:val="upperRoman"/>
      <w:pStyle w:val="Ttulonumerado-1nvel"/>
      <w:lvlText w:val="%1."/>
      <w:lvlJc w:val="left"/>
      <w:pPr>
        <w:ind w:left="360" w:hanging="360"/>
      </w:pPr>
      <w:rPr>
        <w:rFonts w:hint="default"/>
      </w:rPr>
    </w:lvl>
    <w:lvl w:ilvl="1">
      <w:start w:val="1"/>
      <w:numFmt w:val="decimal"/>
      <w:pStyle w:val="Ttulonumerado-2nvel"/>
      <w:lvlText w:val="%1.%2."/>
      <w:lvlJc w:val="left"/>
      <w:pPr>
        <w:ind w:left="792" w:hanging="432"/>
      </w:pPr>
    </w:lvl>
    <w:lvl w:ilvl="2">
      <w:start w:val="1"/>
      <w:numFmt w:val="decimal"/>
      <w:pStyle w:val="Ttulonumerado-3nvel"/>
      <w:lvlText w:val="%1.%2.%3."/>
      <w:lvlJc w:val="left"/>
      <w:pPr>
        <w:ind w:left="1224" w:hanging="504"/>
      </w:pPr>
    </w:lvl>
    <w:lvl w:ilvl="3">
      <w:start w:val="1"/>
      <w:numFmt w:val="decimal"/>
      <w:pStyle w:val="Ttulonumerado-4nve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5F93377"/>
    <w:multiLevelType w:val="hybridMultilevel"/>
    <w:tmpl w:val="70D63A50"/>
    <w:lvl w:ilvl="0" w:tplc="8B4C50DC">
      <w:start w:val="1"/>
      <w:numFmt w:val="upperRoman"/>
      <w:lvlText w:val="%1."/>
      <w:lvlJc w:val="left"/>
      <w:pPr>
        <w:ind w:left="1080" w:hanging="720"/>
      </w:pPr>
      <w:rPr>
        <w:rFonts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8BB7658"/>
    <w:multiLevelType w:val="hybridMultilevel"/>
    <w:tmpl w:val="D64A8B6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3C7520B"/>
    <w:multiLevelType w:val="multilevel"/>
    <w:tmpl w:val="BADE5A64"/>
    <w:numStyleLink w:val="TCU"/>
  </w:abstractNum>
  <w:abstractNum w:abstractNumId="4">
    <w:nsid w:val="2D927D9B"/>
    <w:multiLevelType w:val="multilevel"/>
    <w:tmpl w:val="DC2C231A"/>
    <w:lvl w:ilvl="0">
      <w:start w:val="1"/>
      <w:numFmt w:val="upperRoman"/>
      <w:lvlText w:val="%1."/>
      <w:lvlJc w:val="left"/>
      <w:pPr>
        <w:ind w:left="1080" w:hanging="720"/>
      </w:pPr>
      <w:rPr>
        <w:rFonts w:hint="default"/>
      </w:rPr>
    </w:lvl>
    <w:lvl w:ilvl="1">
      <w:start w:val="3"/>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324955BB"/>
    <w:multiLevelType w:val="multilevel"/>
    <w:tmpl w:val="BADE5A64"/>
    <w:styleLink w:val="TCU"/>
    <w:lvl w:ilvl="0">
      <w:start w:val="1"/>
      <w:numFmt w:val="lowerLetter"/>
      <w:pStyle w:val="ListadeInformaes"/>
      <w:lvlText w:val="%1)"/>
      <w:lvlJc w:val="left"/>
      <w:pPr>
        <w:tabs>
          <w:tab w:val="num" w:pos="1559"/>
        </w:tabs>
        <w:ind w:left="0" w:firstLine="1134"/>
      </w:pPr>
      <w:rPr>
        <w:rFonts w:hint="default"/>
      </w:rPr>
    </w:lvl>
    <w:lvl w:ilvl="1">
      <w:start w:val="1"/>
      <w:numFmt w:val="decimal"/>
      <w:lvlText w:val="%1.%2)"/>
      <w:lvlJc w:val="left"/>
      <w:pPr>
        <w:tabs>
          <w:tab w:val="num" w:pos="1701"/>
        </w:tabs>
        <w:ind w:left="0" w:firstLine="1134"/>
      </w:pPr>
      <w:rPr>
        <w:rFonts w:hint="default"/>
      </w:rPr>
    </w:lvl>
    <w:lvl w:ilvl="2">
      <w:start w:val="1"/>
      <w:numFmt w:val="decimal"/>
      <w:lvlText w:val="%1.%2.%3)"/>
      <w:lvlJc w:val="left"/>
      <w:pPr>
        <w:tabs>
          <w:tab w:val="num" w:pos="1843"/>
        </w:tabs>
        <w:ind w:left="0" w:firstLine="1134"/>
      </w:pPr>
      <w:rPr>
        <w:rFonts w:hint="default"/>
      </w:rPr>
    </w:lvl>
    <w:lvl w:ilvl="3">
      <w:start w:val="1"/>
      <w:numFmt w:val="decimal"/>
      <w:lvlText w:val="%1.%2.%3.%4)"/>
      <w:lvlJc w:val="left"/>
      <w:pPr>
        <w:tabs>
          <w:tab w:val="num" w:pos="1985"/>
        </w:tabs>
        <w:ind w:left="0" w:firstLine="1134"/>
      </w:pPr>
      <w:rPr>
        <w:rFonts w:hint="default"/>
        <w:b w:val="0"/>
        <w:i w:val="0"/>
        <w:color w:val="auto"/>
      </w:rPr>
    </w:lvl>
    <w:lvl w:ilvl="4">
      <w:start w:val="1"/>
      <w:numFmt w:val="decimal"/>
      <w:lvlText w:val="%1.%2.%3.%4.%5)"/>
      <w:lvlJc w:val="left"/>
      <w:pPr>
        <w:tabs>
          <w:tab w:val="num" w:pos="2126"/>
        </w:tabs>
        <w:ind w:left="0" w:firstLine="1134"/>
      </w:pPr>
      <w:rPr>
        <w:rFonts w:hint="default"/>
        <w:b w:val="0"/>
        <w:i w:val="0"/>
        <w:color w:val="auto"/>
      </w:rPr>
    </w:lvl>
    <w:lvl w:ilvl="5">
      <w:start w:val="1"/>
      <w:numFmt w:val="decimal"/>
      <w:lvlText w:val="%1.%2.%3.%4.%5.%6)"/>
      <w:lvlJc w:val="left"/>
      <w:pPr>
        <w:tabs>
          <w:tab w:val="num" w:pos="2410"/>
        </w:tabs>
        <w:ind w:left="0" w:firstLine="1134"/>
      </w:pPr>
      <w:rPr>
        <w:rFonts w:hint="default"/>
        <w:b w:val="0"/>
        <w:i w:val="0"/>
        <w:color w:val="auto"/>
      </w:rPr>
    </w:lvl>
    <w:lvl w:ilvl="6">
      <w:start w:val="1"/>
      <w:numFmt w:val="decimal"/>
      <w:lvlText w:val="%1.%2.%3.%4.%5.%6.%7)"/>
      <w:lvlJc w:val="left"/>
      <w:pPr>
        <w:tabs>
          <w:tab w:val="num" w:pos="2552"/>
        </w:tabs>
        <w:ind w:left="0" w:firstLine="1134"/>
      </w:pPr>
      <w:rPr>
        <w:rFonts w:hint="default"/>
        <w:b w:val="0"/>
        <w:i w:val="0"/>
        <w:color w:val="auto"/>
      </w:rPr>
    </w:lvl>
    <w:lvl w:ilvl="7">
      <w:start w:val="1"/>
      <w:numFmt w:val="decimal"/>
      <w:lvlText w:val="%1.%2.%3.%4.%5.%6.%7.%8)"/>
      <w:lvlJc w:val="left"/>
      <w:pPr>
        <w:tabs>
          <w:tab w:val="num" w:pos="2693"/>
        </w:tabs>
        <w:ind w:left="0" w:firstLine="1134"/>
      </w:pPr>
      <w:rPr>
        <w:rFonts w:hint="default"/>
        <w:b w:val="0"/>
        <w:i w:val="0"/>
        <w:color w:val="auto"/>
      </w:rPr>
    </w:lvl>
    <w:lvl w:ilvl="8">
      <w:start w:val="1"/>
      <w:numFmt w:val="decimal"/>
      <w:lvlText w:val="%1.%2.%3.%4.%5.%6.%7.%8.%9)"/>
      <w:lvlJc w:val="left"/>
      <w:pPr>
        <w:tabs>
          <w:tab w:val="num" w:pos="2977"/>
        </w:tabs>
        <w:ind w:left="0" w:firstLine="1134"/>
      </w:pPr>
      <w:rPr>
        <w:rFonts w:hint="default"/>
        <w:b w:val="0"/>
        <w:i w:val="0"/>
        <w:color w:val="auto"/>
      </w:rPr>
    </w:lvl>
  </w:abstractNum>
  <w:abstractNum w:abstractNumId="6">
    <w:nsid w:val="3327106F"/>
    <w:multiLevelType w:val="multilevel"/>
    <w:tmpl w:val="A3100AD4"/>
    <w:lvl w:ilvl="0">
      <w:start w:val="1"/>
      <w:numFmt w:val="upperRoman"/>
      <w:pStyle w:val="Ttulo1"/>
      <w:lvlText w:val="%1."/>
      <w:lvlJc w:val="left"/>
      <w:pPr>
        <w:ind w:left="284" w:hanging="284"/>
      </w:pPr>
      <w:rPr>
        <w:rFonts w:ascii="Times New Roman" w:hAnsi="Times New Roman" w:hint="default"/>
        <w:b/>
        <w:i w:val="0"/>
        <w:color w:val="auto"/>
        <w:sz w:val="24"/>
      </w:rPr>
    </w:lvl>
    <w:lvl w:ilvl="1">
      <w:start w:val="1"/>
      <w:numFmt w:val="decimal"/>
      <w:pStyle w:val="Ttulo2"/>
      <w:lvlText w:val="%1.%2"/>
      <w:lvlJc w:val="left"/>
      <w:pPr>
        <w:ind w:left="284" w:hanging="284"/>
      </w:pPr>
      <w:rPr>
        <w:rFonts w:hint="default"/>
      </w:rPr>
    </w:lvl>
    <w:lvl w:ilvl="2">
      <w:start w:val="1"/>
      <w:numFmt w:val="decimal"/>
      <w:pStyle w:val="Ttulo3"/>
      <w:lvlText w:val="%1.%2.%3"/>
      <w:lvlJc w:val="left"/>
      <w:pPr>
        <w:ind w:left="284" w:hanging="284"/>
      </w:pPr>
      <w:rPr>
        <w:rFonts w:hint="default"/>
      </w:rPr>
    </w:lvl>
    <w:lvl w:ilvl="3">
      <w:start w:val="1"/>
      <w:numFmt w:val="decimal"/>
      <w:pStyle w:val="Ttulo4"/>
      <w:lvlText w:val="%1.%2.%3.%4"/>
      <w:lvlJc w:val="left"/>
      <w:pPr>
        <w:ind w:left="284" w:hanging="284"/>
      </w:pPr>
      <w:rPr>
        <w:rFonts w:hint="default"/>
      </w:rPr>
    </w:lvl>
    <w:lvl w:ilvl="4">
      <w:start w:val="1"/>
      <w:numFmt w:val="decimal"/>
      <w:pStyle w:val="Ttulo5"/>
      <w:lvlText w:val="%1.%2.%3.%4.%5"/>
      <w:lvlJc w:val="left"/>
      <w:pPr>
        <w:ind w:left="284" w:hanging="284"/>
      </w:pPr>
      <w:rPr>
        <w:rFonts w:hint="default"/>
      </w:rPr>
    </w:lvl>
    <w:lvl w:ilvl="5">
      <w:start w:val="1"/>
      <w:numFmt w:val="decimal"/>
      <w:pStyle w:val="Ttulo6"/>
      <w:lvlText w:val="%1.%2.%3.%4.%5.%6"/>
      <w:lvlJc w:val="left"/>
      <w:pPr>
        <w:ind w:left="284" w:hanging="284"/>
      </w:pPr>
      <w:rPr>
        <w:rFonts w:hint="default"/>
      </w:rPr>
    </w:lvl>
    <w:lvl w:ilvl="6">
      <w:start w:val="1"/>
      <w:numFmt w:val="decimal"/>
      <w:pStyle w:val="Ttulo7"/>
      <w:lvlText w:val="%1.%2.%3.%4.%5.%6.%7"/>
      <w:lvlJc w:val="left"/>
      <w:pPr>
        <w:ind w:left="284" w:hanging="284"/>
      </w:pPr>
      <w:rPr>
        <w:rFonts w:hint="default"/>
      </w:rPr>
    </w:lvl>
    <w:lvl w:ilvl="7">
      <w:start w:val="1"/>
      <w:numFmt w:val="decimal"/>
      <w:pStyle w:val="Ttulo8"/>
      <w:lvlText w:val="%1.%2.%3.%4.%5.%6.%7.%8"/>
      <w:lvlJc w:val="left"/>
      <w:pPr>
        <w:ind w:left="284" w:hanging="284"/>
      </w:pPr>
      <w:rPr>
        <w:rFonts w:hint="default"/>
      </w:rPr>
    </w:lvl>
    <w:lvl w:ilvl="8">
      <w:start w:val="1"/>
      <w:numFmt w:val="decimal"/>
      <w:pStyle w:val="Ttulo9"/>
      <w:lvlText w:val="%1.%2.%3.%4.%5.%6.%7.%8.%9"/>
      <w:lvlJc w:val="left"/>
      <w:pPr>
        <w:ind w:left="284" w:hanging="284"/>
      </w:pPr>
      <w:rPr>
        <w:rFonts w:hint="default"/>
      </w:rPr>
    </w:lvl>
  </w:abstractNum>
  <w:abstractNum w:abstractNumId="7">
    <w:nsid w:val="4F2F74F2"/>
    <w:multiLevelType w:val="hybridMultilevel"/>
    <w:tmpl w:val="820EBE20"/>
    <w:lvl w:ilvl="0" w:tplc="65D407E8">
      <w:start w:val="1"/>
      <w:numFmt w:val="lowerLetter"/>
      <w:lvlText w:val="%1)"/>
      <w:lvlJc w:val="left"/>
      <w:pPr>
        <w:ind w:left="1188" w:hanging="720"/>
      </w:pPr>
      <w:rPr>
        <w:rFonts w:ascii="Times New Roman" w:eastAsia="Times New Roman" w:hAnsi="Times New Roman" w:cs="Times New Roman"/>
      </w:rPr>
    </w:lvl>
    <w:lvl w:ilvl="1" w:tplc="04160019" w:tentative="1">
      <w:start w:val="1"/>
      <w:numFmt w:val="lowerLetter"/>
      <w:lvlText w:val="%2."/>
      <w:lvlJc w:val="left"/>
      <w:pPr>
        <w:ind w:left="1548" w:hanging="360"/>
      </w:pPr>
    </w:lvl>
    <w:lvl w:ilvl="2" w:tplc="0416001B" w:tentative="1">
      <w:start w:val="1"/>
      <w:numFmt w:val="lowerRoman"/>
      <w:lvlText w:val="%3."/>
      <w:lvlJc w:val="right"/>
      <w:pPr>
        <w:ind w:left="2268" w:hanging="180"/>
      </w:pPr>
    </w:lvl>
    <w:lvl w:ilvl="3" w:tplc="0416000F" w:tentative="1">
      <w:start w:val="1"/>
      <w:numFmt w:val="decimal"/>
      <w:lvlText w:val="%4."/>
      <w:lvlJc w:val="left"/>
      <w:pPr>
        <w:ind w:left="2988" w:hanging="360"/>
      </w:pPr>
    </w:lvl>
    <w:lvl w:ilvl="4" w:tplc="04160019" w:tentative="1">
      <w:start w:val="1"/>
      <w:numFmt w:val="lowerLetter"/>
      <w:lvlText w:val="%5."/>
      <w:lvlJc w:val="left"/>
      <w:pPr>
        <w:ind w:left="3708" w:hanging="360"/>
      </w:pPr>
    </w:lvl>
    <w:lvl w:ilvl="5" w:tplc="0416001B" w:tentative="1">
      <w:start w:val="1"/>
      <w:numFmt w:val="lowerRoman"/>
      <w:lvlText w:val="%6."/>
      <w:lvlJc w:val="right"/>
      <w:pPr>
        <w:ind w:left="4428" w:hanging="180"/>
      </w:pPr>
    </w:lvl>
    <w:lvl w:ilvl="6" w:tplc="0416000F" w:tentative="1">
      <w:start w:val="1"/>
      <w:numFmt w:val="decimal"/>
      <w:lvlText w:val="%7."/>
      <w:lvlJc w:val="left"/>
      <w:pPr>
        <w:ind w:left="5148" w:hanging="360"/>
      </w:pPr>
    </w:lvl>
    <w:lvl w:ilvl="7" w:tplc="04160019" w:tentative="1">
      <w:start w:val="1"/>
      <w:numFmt w:val="lowerLetter"/>
      <w:lvlText w:val="%8."/>
      <w:lvlJc w:val="left"/>
      <w:pPr>
        <w:ind w:left="5868" w:hanging="360"/>
      </w:pPr>
    </w:lvl>
    <w:lvl w:ilvl="8" w:tplc="0416001B" w:tentative="1">
      <w:start w:val="1"/>
      <w:numFmt w:val="lowerRoman"/>
      <w:lvlText w:val="%9."/>
      <w:lvlJc w:val="right"/>
      <w:pPr>
        <w:ind w:left="6588" w:hanging="180"/>
      </w:pPr>
    </w:lvl>
  </w:abstractNum>
  <w:abstractNum w:abstractNumId="8">
    <w:nsid w:val="4F867DCC"/>
    <w:multiLevelType w:val="multilevel"/>
    <w:tmpl w:val="BE380E7A"/>
    <w:styleLink w:val="1nvel"/>
    <w:lvl w:ilvl="0">
      <w:start w:val="1"/>
      <w:numFmt w:val="upperRoman"/>
      <w:lvlText w:val="%1."/>
      <w:lvlJc w:val="left"/>
      <w:pPr>
        <w:ind w:left="0" w:firstLine="0"/>
      </w:pPr>
      <w:rPr>
        <w:rFonts w:ascii="Times New Roman" w:hAnsi="Times New Roman"/>
        <w:b/>
        <w:caps/>
        <w:sz w:val="24"/>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9">
    <w:nsid w:val="54DA7474"/>
    <w:multiLevelType w:val="hybridMultilevel"/>
    <w:tmpl w:val="5876158C"/>
    <w:lvl w:ilvl="0" w:tplc="A50EBCB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602A6CDC"/>
    <w:multiLevelType w:val="multilevel"/>
    <w:tmpl w:val="19A40656"/>
    <w:styleLink w:val="Estilo2"/>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1">
    <w:nsid w:val="611D6987"/>
    <w:multiLevelType w:val="multilevel"/>
    <w:tmpl w:val="BA16907C"/>
    <w:lvl w:ilvl="0">
      <w:start w:val="1"/>
      <w:numFmt w:val="upperRoman"/>
      <w:lvlText w:val="%1."/>
      <w:lvlJc w:val="left"/>
      <w:pPr>
        <w:ind w:left="720" w:hanging="720"/>
      </w:pPr>
      <w:rPr>
        <w:rFonts w:hint="default"/>
        <w:sz w:val="24"/>
      </w:rPr>
    </w:lvl>
    <w:lvl w:ilvl="1">
      <w:start w:val="3"/>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6BD46DD9"/>
    <w:multiLevelType w:val="multilevel"/>
    <w:tmpl w:val="869699E0"/>
    <w:lvl w:ilvl="0">
      <w:start w:val="1"/>
      <w:numFmt w:val="decimal"/>
      <w:pStyle w:val="Pargrafo-1nvel"/>
      <w:lvlText w:val="%1."/>
      <w:lvlJc w:val="left"/>
      <w:pPr>
        <w:ind w:left="0" w:firstLine="0"/>
      </w:pPr>
      <w:rPr>
        <w:rFonts w:hint="default"/>
        <w:lang w:val="pt-BR"/>
      </w:rPr>
    </w:lvl>
    <w:lvl w:ilvl="1">
      <w:start w:val="1"/>
      <w:numFmt w:val="decimal"/>
      <w:pStyle w:val="Pargrafo-2nvel"/>
      <w:lvlText w:val="%1.%2."/>
      <w:lvlJc w:val="left"/>
      <w:pPr>
        <w:ind w:left="0" w:firstLine="0"/>
      </w:pPr>
      <w:rPr>
        <w:rFonts w:hint="default"/>
      </w:rPr>
    </w:lvl>
    <w:lvl w:ilvl="2">
      <w:start w:val="1"/>
      <w:numFmt w:val="decimal"/>
      <w:pStyle w:val="Pargrafo-3nvel"/>
      <w:lvlText w:val="%1.%2.%3."/>
      <w:lvlJc w:val="left"/>
      <w:pPr>
        <w:ind w:left="426"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3">
    <w:nsid w:val="74A776CD"/>
    <w:multiLevelType w:val="multilevel"/>
    <w:tmpl w:val="B2F2810E"/>
    <w:styleLink w:val="Estilo1"/>
    <w:lvl w:ilvl="0">
      <w:start w:val="1"/>
      <w:numFmt w:val="upperRoman"/>
      <w:lvlText w:val="%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10"/>
  </w:num>
  <w:num w:numId="3">
    <w:abstractNumId w:val="5"/>
  </w:num>
  <w:num w:numId="4">
    <w:abstractNumId w:val="8"/>
  </w:num>
  <w:num w:numId="5">
    <w:abstractNumId w:val="6"/>
  </w:num>
  <w:num w:numId="6">
    <w:abstractNumId w:val="12"/>
  </w:num>
  <w:num w:numId="7">
    <w:abstractNumId w:val="0"/>
  </w:num>
  <w:num w:numId="8">
    <w:abstractNumId w:val="3"/>
  </w:num>
  <w:num w:numId="9">
    <w:abstractNumId w:val="11"/>
  </w:num>
  <w:num w:numId="10">
    <w:abstractNumId w:val="1"/>
  </w:num>
  <w:num w:numId="11">
    <w:abstractNumId w:val="7"/>
  </w:num>
  <w:num w:numId="12">
    <w:abstractNumId w:val="9"/>
  </w:num>
  <w:num w:numId="13">
    <w:abstractNumId w:val="4"/>
  </w:num>
  <w:num w:numId="14">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09"/>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82D"/>
    <w:rsid w:val="00000586"/>
    <w:rsid w:val="00000857"/>
    <w:rsid w:val="00001CB4"/>
    <w:rsid w:val="00003A0E"/>
    <w:rsid w:val="00011E33"/>
    <w:rsid w:val="00014479"/>
    <w:rsid w:val="0001458F"/>
    <w:rsid w:val="00014BE0"/>
    <w:rsid w:val="00015158"/>
    <w:rsid w:val="00015C2C"/>
    <w:rsid w:val="00016DC2"/>
    <w:rsid w:val="00020BB4"/>
    <w:rsid w:val="00022FB5"/>
    <w:rsid w:val="00024054"/>
    <w:rsid w:val="00024370"/>
    <w:rsid w:val="00026B56"/>
    <w:rsid w:val="000306D7"/>
    <w:rsid w:val="00032EDE"/>
    <w:rsid w:val="00034805"/>
    <w:rsid w:val="0003666A"/>
    <w:rsid w:val="00040877"/>
    <w:rsid w:val="00041081"/>
    <w:rsid w:val="0004144E"/>
    <w:rsid w:val="00041E88"/>
    <w:rsid w:val="00042ECD"/>
    <w:rsid w:val="00045598"/>
    <w:rsid w:val="00046EFD"/>
    <w:rsid w:val="0005099D"/>
    <w:rsid w:val="00051BEA"/>
    <w:rsid w:val="00054EBF"/>
    <w:rsid w:val="00054FCB"/>
    <w:rsid w:val="0006053D"/>
    <w:rsid w:val="000628BF"/>
    <w:rsid w:val="00064F79"/>
    <w:rsid w:val="00065379"/>
    <w:rsid w:val="00065A68"/>
    <w:rsid w:val="0006631A"/>
    <w:rsid w:val="00066CFD"/>
    <w:rsid w:val="00067171"/>
    <w:rsid w:val="00067255"/>
    <w:rsid w:val="00070F82"/>
    <w:rsid w:val="00072F24"/>
    <w:rsid w:val="000739D0"/>
    <w:rsid w:val="000765E3"/>
    <w:rsid w:val="00080B86"/>
    <w:rsid w:val="000815B1"/>
    <w:rsid w:val="000829FB"/>
    <w:rsid w:val="000838C0"/>
    <w:rsid w:val="00085D2A"/>
    <w:rsid w:val="00086502"/>
    <w:rsid w:val="00086AA7"/>
    <w:rsid w:val="00090B26"/>
    <w:rsid w:val="00093AFA"/>
    <w:rsid w:val="000955DE"/>
    <w:rsid w:val="000964A3"/>
    <w:rsid w:val="000A5815"/>
    <w:rsid w:val="000A6343"/>
    <w:rsid w:val="000B0CB3"/>
    <w:rsid w:val="000B2AFA"/>
    <w:rsid w:val="000B3679"/>
    <w:rsid w:val="000B4213"/>
    <w:rsid w:val="000C6B67"/>
    <w:rsid w:val="000D2720"/>
    <w:rsid w:val="000D4B78"/>
    <w:rsid w:val="000E034C"/>
    <w:rsid w:val="000E13AE"/>
    <w:rsid w:val="000E1BA5"/>
    <w:rsid w:val="000E7FF2"/>
    <w:rsid w:val="000F0B10"/>
    <w:rsid w:val="000F4BF8"/>
    <w:rsid w:val="000F51F8"/>
    <w:rsid w:val="000F5404"/>
    <w:rsid w:val="000F667A"/>
    <w:rsid w:val="000F6D1A"/>
    <w:rsid w:val="000F7622"/>
    <w:rsid w:val="00102A2F"/>
    <w:rsid w:val="0010438B"/>
    <w:rsid w:val="00105F09"/>
    <w:rsid w:val="0010669C"/>
    <w:rsid w:val="00106AEC"/>
    <w:rsid w:val="001075B8"/>
    <w:rsid w:val="001102BF"/>
    <w:rsid w:val="001105FE"/>
    <w:rsid w:val="00111739"/>
    <w:rsid w:val="00112901"/>
    <w:rsid w:val="001138D4"/>
    <w:rsid w:val="00115744"/>
    <w:rsid w:val="00115F8B"/>
    <w:rsid w:val="001220F8"/>
    <w:rsid w:val="00123C05"/>
    <w:rsid w:val="00132365"/>
    <w:rsid w:val="00136EA5"/>
    <w:rsid w:val="00140225"/>
    <w:rsid w:val="001413E6"/>
    <w:rsid w:val="0014140F"/>
    <w:rsid w:val="001434F1"/>
    <w:rsid w:val="001465BB"/>
    <w:rsid w:val="00147136"/>
    <w:rsid w:val="001472E9"/>
    <w:rsid w:val="001475C5"/>
    <w:rsid w:val="00151EBA"/>
    <w:rsid w:val="001525A3"/>
    <w:rsid w:val="001534CB"/>
    <w:rsid w:val="001541DA"/>
    <w:rsid w:val="001557B0"/>
    <w:rsid w:val="00157EE2"/>
    <w:rsid w:val="00163FF9"/>
    <w:rsid w:val="00166446"/>
    <w:rsid w:val="0017365B"/>
    <w:rsid w:val="001740A2"/>
    <w:rsid w:val="001768FD"/>
    <w:rsid w:val="00176C11"/>
    <w:rsid w:val="00176DD5"/>
    <w:rsid w:val="0017733E"/>
    <w:rsid w:val="00180116"/>
    <w:rsid w:val="001825DC"/>
    <w:rsid w:val="00184C24"/>
    <w:rsid w:val="00184EA4"/>
    <w:rsid w:val="00186AEE"/>
    <w:rsid w:val="001958C5"/>
    <w:rsid w:val="001A1877"/>
    <w:rsid w:val="001A5500"/>
    <w:rsid w:val="001A566B"/>
    <w:rsid w:val="001B2D1B"/>
    <w:rsid w:val="001B7A6B"/>
    <w:rsid w:val="001C179A"/>
    <w:rsid w:val="001C343C"/>
    <w:rsid w:val="001C5493"/>
    <w:rsid w:val="001C568C"/>
    <w:rsid w:val="001D19F8"/>
    <w:rsid w:val="001D4748"/>
    <w:rsid w:val="001E27BA"/>
    <w:rsid w:val="001E4147"/>
    <w:rsid w:val="001E5813"/>
    <w:rsid w:val="001E7D95"/>
    <w:rsid w:val="001F059C"/>
    <w:rsid w:val="001F181C"/>
    <w:rsid w:val="001F1A30"/>
    <w:rsid w:val="001F2FB1"/>
    <w:rsid w:val="001F30C5"/>
    <w:rsid w:val="001F591B"/>
    <w:rsid w:val="001F719D"/>
    <w:rsid w:val="00201DFA"/>
    <w:rsid w:val="00202BB9"/>
    <w:rsid w:val="00203632"/>
    <w:rsid w:val="00207104"/>
    <w:rsid w:val="00210031"/>
    <w:rsid w:val="00212F5B"/>
    <w:rsid w:val="0021425E"/>
    <w:rsid w:val="0021620A"/>
    <w:rsid w:val="002173F7"/>
    <w:rsid w:val="00222546"/>
    <w:rsid w:val="002278C7"/>
    <w:rsid w:val="00230F8D"/>
    <w:rsid w:val="00232243"/>
    <w:rsid w:val="002333A3"/>
    <w:rsid w:val="0023419C"/>
    <w:rsid w:val="002359E8"/>
    <w:rsid w:val="002373A6"/>
    <w:rsid w:val="00241DD4"/>
    <w:rsid w:val="00242413"/>
    <w:rsid w:val="00243263"/>
    <w:rsid w:val="00243FB8"/>
    <w:rsid w:val="00246868"/>
    <w:rsid w:val="00246C52"/>
    <w:rsid w:val="0024722B"/>
    <w:rsid w:val="00247600"/>
    <w:rsid w:val="00247D2E"/>
    <w:rsid w:val="002534E0"/>
    <w:rsid w:val="00257AB5"/>
    <w:rsid w:val="00257EB8"/>
    <w:rsid w:val="00261D36"/>
    <w:rsid w:val="00264BDC"/>
    <w:rsid w:val="00266F40"/>
    <w:rsid w:val="002678C4"/>
    <w:rsid w:val="00271CA9"/>
    <w:rsid w:val="00272DD9"/>
    <w:rsid w:val="00273E2A"/>
    <w:rsid w:val="00283987"/>
    <w:rsid w:val="00283A11"/>
    <w:rsid w:val="002872B9"/>
    <w:rsid w:val="0029249C"/>
    <w:rsid w:val="00292CE0"/>
    <w:rsid w:val="00293918"/>
    <w:rsid w:val="00293B43"/>
    <w:rsid w:val="00294770"/>
    <w:rsid w:val="00295235"/>
    <w:rsid w:val="002A2DA7"/>
    <w:rsid w:val="002A3B3F"/>
    <w:rsid w:val="002A49C3"/>
    <w:rsid w:val="002A4A42"/>
    <w:rsid w:val="002A63AA"/>
    <w:rsid w:val="002A6A51"/>
    <w:rsid w:val="002A6C34"/>
    <w:rsid w:val="002A6CFA"/>
    <w:rsid w:val="002A78EC"/>
    <w:rsid w:val="002B2796"/>
    <w:rsid w:val="002B3175"/>
    <w:rsid w:val="002B6828"/>
    <w:rsid w:val="002B7455"/>
    <w:rsid w:val="002C1D3E"/>
    <w:rsid w:val="002C2937"/>
    <w:rsid w:val="002C4B1F"/>
    <w:rsid w:val="002C69DB"/>
    <w:rsid w:val="002C73CA"/>
    <w:rsid w:val="002C7E59"/>
    <w:rsid w:val="002D1287"/>
    <w:rsid w:val="002D1C75"/>
    <w:rsid w:val="002D296C"/>
    <w:rsid w:val="002D2D1A"/>
    <w:rsid w:val="002D3CAF"/>
    <w:rsid w:val="002E1712"/>
    <w:rsid w:val="002E21C8"/>
    <w:rsid w:val="002E2C0C"/>
    <w:rsid w:val="002E3124"/>
    <w:rsid w:val="002E6C17"/>
    <w:rsid w:val="002E7374"/>
    <w:rsid w:val="002E77E8"/>
    <w:rsid w:val="002F0F47"/>
    <w:rsid w:val="002F10E2"/>
    <w:rsid w:val="002F51CF"/>
    <w:rsid w:val="002F5BAC"/>
    <w:rsid w:val="003068E4"/>
    <w:rsid w:val="00310355"/>
    <w:rsid w:val="00311075"/>
    <w:rsid w:val="0031176F"/>
    <w:rsid w:val="003129C1"/>
    <w:rsid w:val="003146D4"/>
    <w:rsid w:val="00314AD4"/>
    <w:rsid w:val="00314E68"/>
    <w:rsid w:val="003154F7"/>
    <w:rsid w:val="0032579F"/>
    <w:rsid w:val="00325DC4"/>
    <w:rsid w:val="00326BD7"/>
    <w:rsid w:val="00331256"/>
    <w:rsid w:val="00331840"/>
    <w:rsid w:val="00333287"/>
    <w:rsid w:val="0033488A"/>
    <w:rsid w:val="003354A7"/>
    <w:rsid w:val="00337EA7"/>
    <w:rsid w:val="00340C73"/>
    <w:rsid w:val="0034182A"/>
    <w:rsid w:val="00342997"/>
    <w:rsid w:val="00344568"/>
    <w:rsid w:val="00345A88"/>
    <w:rsid w:val="00345B8E"/>
    <w:rsid w:val="00345E20"/>
    <w:rsid w:val="00350DB8"/>
    <w:rsid w:val="003518D6"/>
    <w:rsid w:val="0035302A"/>
    <w:rsid w:val="003535A2"/>
    <w:rsid w:val="0035582D"/>
    <w:rsid w:val="00356910"/>
    <w:rsid w:val="003569DB"/>
    <w:rsid w:val="00360965"/>
    <w:rsid w:val="00363192"/>
    <w:rsid w:val="00365814"/>
    <w:rsid w:val="003673E7"/>
    <w:rsid w:val="0037155F"/>
    <w:rsid w:val="00371899"/>
    <w:rsid w:val="00372EBD"/>
    <w:rsid w:val="00373EE0"/>
    <w:rsid w:val="00374334"/>
    <w:rsid w:val="003754F4"/>
    <w:rsid w:val="00375B3D"/>
    <w:rsid w:val="003769E1"/>
    <w:rsid w:val="00376E7F"/>
    <w:rsid w:val="00377B5A"/>
    <w:rsid w:val="00380F62"/>
    <w:rsid w:val="00383BC5"/>
    <w:rsid w:val="00384555"/>
    <w:rsid w:val="00384BA8"/>
    <w:rsid w:val="003874B0"/>
    <w:rsid w:val="0038789A"/>
    <w:rsid w:val="00387EF5"/>
    <w:rsid w:val="003927C7"/>
    <w:rsid w:val="003946C5"/>
    <w:rsid w:val="0039496D"/>
    <w:rsid w:val="0039537F"/>
    <w:rsid w:val="00396F60"/>
    <w:rsid w:val="00397E4B"/>
    <w:rsid w:val="003A0115"/>
    <w:rsid w:val="003A0EF9"/>
    <w:rsid w:val="003A1FD4"/>
    <w:rsid w:val="003A4C7F"/>
    <w:rsid w:val="003A5155"/>
    <w:rsid w:val="003A5AE3"/>
    <w:rsid w:val="003B1885"/>
    <w:rsid w:val="003B2F78"/>
    <w:rsid w:val="003B7411"/>
    <w:rsid w:val="003B7F0D"/>
    <w:rsid w:val="003C0FE9"/>
    <w:rsid w:val="003C155A"/>
    <w:rsid w:val="003C39AB"/>
    <w:rsid w:val="003C6330"/>
    <w:rsid w:val="003D0D1D"/>
    <w:rsid w:val="003D56CE"/>
    <w:rsid w:val="003E1ABB"/>
    <w:rsid w:val="003E1B0D"/>
    <w:rsid w:val="003E22A6"/>
    <w:rsid w:val="003E4860"/>
    <w:rsid w:val="003E6691"/>
    <w:rsid w:val="003F045D"/>
    <w:rsid w:val="003F0B9C"/>
    <w:rsid w:val="003F0F94"/>
    <w:rsid w:val="003F2B59"/>
    <w:rsid w:val="003F49B4"/>
    <w:rsid w:val="003F4E7C"/>
    <w:rsid w:val="003F62B2"/>
    <w:rsid w:val="004034B8"/>
    <w:rsid w:val="004047C7"/>
    <w:rsid w:val="00405360"/>
    <w:rsid w:val="004060AA"/>
    <w:rsid w:val="00407439"/>
    <w:rsid w:val="00407E94"/>
    <w:rsid w:val="004106A6"/>
    <w:rsid w:val="00412604"/>
    <w:rsid w:val="00412E10"/>
    <w:rsid w:val="004140F0"/>
    <w:rsid w:val="0041601F"/>
    <w:rsid w:val="0041684C"/>
    <w:rsid w:val="00421016"/>
    <w:rsid w:val="004229F5"/>
    <w:rsid w:val="004249B3"/>
    <w:rsid w:val="00424A55"/>
    <w:rsid w:val="00432181"/>
    <w:rsid w:val="0043240D"/>
    <w:rsid w:val="00432467"/>
    <w:rsid w:val="00434835"/>
    <w:rsid w:val="00435103"/>
    <w:rsid w:val="00441634"/>
    <w:rsid w:val="00442507"/>
    <w:rsid w:val="004427FE"/>
    <w:rsid w:val="004432D0"/>
    <w:rsid w:val="004440F6"/>
    <w:rsid w:val="00444572"/>
    <w:rsid w:val="00445ABE"/>
    <w:rsid w:val="004466A0"/>
    <w:rsid w:val="00452D28"/>
    <w:rsid w:val="0045737B"/>
    <w:rsid w:val="00457BC9"/>
    <w:rsid w:val="004669CB"/>
    <w:rsid w:val="00466A64"/>
    <w:rsid w:val="004735A0"/>
    <w:rsid w:val="004737E1"/>
    <w:rsid w:val="0047466E"/>
    <w:rsid w:val="00476FE7"/>
    <w:rsid w:val="00477803"/>
    <w:rsid w:val="00477FF5"/>
    <w:rsid w:val="004828D5"/>
    <w:rsid w:val="00483891"/>
    <w:rsid w:val="00486DB3"/>
    <w:rsid w:val="00487C4F"/>
    <w:rsid w:val="00492EDE"/>
    <w:rsid w:val="00493F0D"/>
    <w:rsid w:val="0049478E"/>
    <w:rsid w:val="00495B04"/>
    <w:rsid w:val="0049783E"/>
    <w:rsid w:val="004A1C3A"/>
    <w:rsid w:val="004A32E2"/>
    <w:rsid w:val="004A352B"/>
    <w:rsid w:val="004A39E3"/>
    <w:rsid w:val="004A4121"/>
    <w:rsid w:val="004A494A"/>
    <w:rsid w:val="004B55C3"/>
    <w:rsid w:val="004B7049"/>
    <w:rsid w:val="004C12EF"/>
    <w:rsid w:val="004C182D"/>
    <w:rsid w:val="004C2F26"/>
    <w:rsid w:val="004D2E9D"/>
    <w:rsid w:val="004E0224"/>
    <w:rsid w:val="004E43CD"/>
    <w:rsid w:val="004E7C41"/>
    <w:rsid w:val="004F3763"/>
    <w:rsid w:val="004F3953"/>
    <w:rsid w:val="004F459B"/>
    <w:rsid w:val="0050027F"/>
    <w:rsid w:val="005003BF"/>
    <w:rsid w:val="00502292"/>
    <w:rsid w:val="0050261A"/>
    <w:rsid w:val="0050760F"/>
    <w:rsid w:val="00507A48"/>
    <w:rsid w:val="0051099B"/>
    <w:rsid w:val="00510A2C"/>
    <w:rsid w:val="00510D64"/>
    <w:rsid w:val="00511019"/>
    <w:rsid w:val="00512C67"/>
    <w:rsid w:val="0051372C"/>
    <w:rsid w:val="00520202"/>
    <w:rsid w:val="00521B5D"/>
    <w:rsid w:val="0052761F"/>
    <w:rsid w:val="005336CE"/>
    <w:rsid w:val="00537915"/>
    <w:rsid w:val="00542148"/>
    <w:rsid w:val="00542152"/>
    <w:rsid w:val="00542753"/>
    <w:rsid w:val="00543880"/>
    <w:rsid w:val="0054505B"/>
    <w:rsid w:val="00546233"/>
    <w:rsid w:val="005463C6"/>
    <w:rsid w:val="00546EE1"/>
    <w:rsid w:val="00551384"/>
    <w:rsid w:val="00554E86"/>
    <w:rsid w:val="005550A8"/>
    <w:rsid w:val="0055543F"/>
    <w:rsid w:val="00557778"/>
    <w:rsid w:val="0056225E"/>
    <w:rsid w:val="005649FD"/>
    <w:rsid w:val="0057089D"/>
    <w:rsid w:val="005721A1"/>
    <w:rsid w:val="00572CDF"/>
    <w:rsid w:val="00574DED"/>
    <w:rsid w:val="00580931"/>
    <w:rsid w:val="00581396"/>
    <w:rsid w:val="005817CD"/>
    <w:rsid w:val="00582712"/>
    <w:rsid w:val="005847EA"/>
    <w:rsid w:val="00590532"/>
    <w:rsid w:val="00590C5F"/>
    <w:rsid w:val="00591F09"/>
    <w:rsid w:val="00592BE9"/>
    <w:rsid w:val="005A205C"/>
    <w:rsid w:val="005A25F3"/>
    <w:rsid w:val="005A5BB3"/>
    <w:rsid w:val="005A6169"/>
    <w:rsid w:val="005A6652"/>
    <w:rsid w:val="005A6708"/>
    <w:rsid w:val="005B1E9D"/>
    <w:rsid w:val="005B24B1"/>
    <w:rsid w:val="005B3605"/>
    <w:rsid w:val="005C1EA8"/>
    <w:rsid w:val="005C2342"/>
    <w:rsid w:val="005C6BAB"/>
    <w:rsid w:val="005D3266"/>
    <w:rsid w:val="005D3A1A"/>
    <w:rsid w:val="005D4389"/>
    <w:rsid w:val="005D5718"/>
    <w:rsid w:val="005E1361"/>
    <w:rsid w:val="005E399D"/>
    <w:rsid w:val="005E3CDC"/>
    <w:rsid w:val="005E3EDA"/>
    <w:rsid w:val="005E6F64"/>
    <w:rsid w:val="005E70D6"/>
    <w:rsid w:val="005E720C"/>
    <w:rsid w:val="005F0803"/>
    <w:rsid w:val="005F12A0"/>
    <w:rsid w:val="005F1F77"/>
    <w:rsid w:val="00600B7C"/>
    <w:rsid w:val="00605293"/>
    <w:rsid w:val="006075A5"/>
    <w:rsid w:val="0061036A"/>
    <w:rsid w:val="006124A2"/>
    <w:rsid w:val="00613578"/>
    <w:rsid w:val="00613E8A"/>
    <w:rsid w:val="006152F4"/>
    <w:rsid w:val="006156A6"/>
    <w:rsid w:val="00615BCB"/>
    <w:rsid w:val="00615C69"/>
    <w:rsid w:val="00617422"/>
    <w:rsid w:val="00621883"/>
    <w:rsid w:val="00621F8E"/>
    <w:rsid w:val="00622A8D"/>
    <w:rsid w:val="00623664"/>
    <w:rsid w:val="006237BF"/>
    <w:rsid w:val="00623AC8"/>
    <w:rsid w:val="006240F0"/>
    <w:rsid w:val="00625242"/>
    <w:rsid w:val="00627F1C"/>
    <w:rsid w:val="00631E06"/>
    <w:rsid w:val="00632532"/>
    <w:rsid w:val="00634DF6"/>
    <w:rsid w:val="006354ED"/>
    <w:rsid w:val="006359E9"/>
    <w:rsid w:val="006368FA"/>
    <w:rsid w:val="00640B61"/>
    <w:rsid w:val="00642B71"/>
    <w:rsid w:val="006443B1"/>
    <w:rsid w:val="00646E45"/>
    <w:rsid w:val="006475C7"/>
    <w:rsid w:val="00647E62"/>
    <w:rsid w:val="0065265C"/>
    <w:rsid w:val="00654E3D"/>
    <w:rsid w:val="00654EA6"/>
    <w:rsid w:val="0065600D"/>
    <w:rsid w:val="00657BB1"/>
    <w:rsid w:val="00662394"/>
    <w:rsid w:val="006627E5"/>
    <w:rsid w:val="0066331C"/>
    <w:rsid w:val="00664D6D"/>
    <w:rsid w:val="00666F3B"/>
    <w:rsid w:val="00671186"/>
    <w:rsid w:val="00673447"/>
    <w:rsid w:val="006771C1"/>
    <w:rsid w:val="0068367D"/>
    <w:rsid w:val="00683F0B"/>
    <w:rsid w:val="00686EB2"/>
    <w:rsid w:val="00687715"/>
    <w:rsid w:val="00690663"/>
    <w:rsid w:val="0069457B"/>
    <w:rsid w:val="00696305"/>
    <w:rsid w:val="00696804"/>
    <w:rsid w:val="006A069A"/>
    <w:rsid w:val="006A1890"/>
    <w:rsid w:val="006A2B22"/>
    <w:rsid w:val="006A7927"/>
    <w:rsid w:val="006B2FD6"/>
    <w:rsid w:val="006B3E12"/>
    <w:rsid w:val="006B5EEE"/>
    <w:rsid w:val="006B60F8"/>
    <w:rsid w:val="006B7982"/>
    <w:rsid w:val="006C00DA"/>
    <w:rsid w:val="006C0642"/>
    <w:rsid w:val="006C0D19"/>
    <w:rsid w:val="006C3B7C"/>
    <w:rsid w:val="006C4815"/>
    <w:rsid w:val="006C650F"/>
    <w:rsid w:val="006C6A0D"/>
    <w:rsid w:val="006D38A6"/>
    <w:rsid w:val="006D4906"/>
    <w:rsid w:val="006D6438"/>
    <w:rsid w:val="006D7CAE"/>
    <w:rsid w:val="006E1C42"/>
    <w:rsid w:val="006E1C5D"/>
    <w:rsid w:val="006E2786"/>
    <w:rsid w:val="006E2B59"/>
    <w:rsid w:val="006E6A3A"/>
    <w:rsid w:val="006E7E3A"/>
    <w:rsid w:val="006F13C6"/>
    <w:rsid w:val="006F2FB5"/>
    <w:rsid w:val="006F2FCD"/>
    <w:rsid w:val="006F35B8"/>
    <w:rsid w:val="006F35F4"/>
    <w:rsid w:val="006F4332"/>
    <w:rsid w:val="006F4407"/>
    <w:rsid w:val="006F6969"/>
    <w:rsid w:val="0070287F"/>
    <w:rsid w:val="00702F8F"/>
    <w:rsid w:val="00706468"/>
    <w:rsid w:val="007119E2"/>
    <w:rsid w:val="00715038"/>
    <w:rsid w:val="0072349B"/>
    <w:rsid w:val="007254E7"/>
    <w:rsid w:val="007301EA"/>
    <w:rsid w:val="00731F30"/>
    <w:rsid w:val="007351DB"/>
    <w:rsid w:val="00736A61"/>
    <w:rsid w:val="0073774A"/>
    <w:rsid w:val="00744690"/>
    <w:rsid w:val="0074477C"/>
    <w:rsid w:val="007460EB"/>
    <w:rsid w:val="00751A90"/>
    <w:rsid w:val="00752D4D"/>
    <w:rsid w:val="007540BF"/>
    <w:rsid w:val="007543D6"/>
    <w:rsid w:val="0075627D"/>
    <w:rsid w:val="00757C29"/>
    <w:rsid w:val="00764215"/>
    <w:rsid w:val="00764EF7"/>
    <w:rsid w:val="00773EDD"/>
    <w:rsid w:val="007762EE"/>
    <w:rsid w:val="0077769E"/>
    <w:rsid w:val="00777C08"/>
    <w:rsid w:val="0078006C"/>
    <w:rsid w:val="00785F86"/>
    <w:rsid w:val="00786437"/>
    <w:rsid w:val="00790D62"/>
    <w:rsid w:val="00790DA4"/>
    <w:rsid w:val="00791B34"/>
    <w:rsid w:val="007923DB"/>
    <w:rsid w:val="00793BBE"/>
    <w:rsid w:val="0079459C"/>
    <w:rsid w:val="00795CA8"/>
    <w:rsid w:val="00796F90"/>
    <w:rsid w:val="00797550"/>
    <w:rsid w:val="007A0512"/>
    <w:rsid w:val="007A1A35"/>
    <w:rsid w:val="007A6C37"/>
    <w:rsid w:val="007B2473"/>
    <w:rsid w:val="007B27AD"/>
    <w:rsid w:val="007B7F2B"/>
    <w:rsid w:val="007C226F"/>
    <w:rsid w:val="007C2AD1"/>
    <w:rsid w:val="007C4552"/>
    <w:rsid w:val="007C5031"/>
    <w:rsid w:val="007D283A"/>
    <w:rsid w:val="007D2D61"/>
    <w:rsid w:val="007D5B33"/>
    <w:rsid w:val="007D6ADD"/>
    <w:rsid w:val="007D7BB9"/>
    <w:rsid w:val="007D7FD6"/>
    <w:rsid w:val="007E0324"/>
    <w:rsid w:val="007E234F"/>
    <w:rsid w:val="007E2F81"/>
    <w:rsid w:val="007E36C2"/>
    <w:rsid w:val="007E5394"/>
    <w:rsid w:val="007E612F"/>
    <w:rsid w:val="007E6DC1"/>
    <w:rsid w:val="007F239B"/>
    <w:rsid w:val="007F4381"/>
    <w:rsid w:val="007F54F2"/>
    <w:rsid w:val="007F5DE1"/>
    <w:rsid w:val="007F7EFA"/>
    <w:rsid w:val="008015C9"/>
    <w:rsid w:val="00801B59"/>
    <w:rsid w:val="00801E8F"/>
    <w:rsid w:val="0080263B"/>
    <w:rsid w:val="00804B0F"/>
    <w:rsid w:val="00806774"/>
    <w:rsid w:val="00806C29"/>
    <w:rsid w:val="0081105B"/>
    <w:rsid w:val="00812092"/>
    <w:rsid w:val="008173E0"/>
    <w:rsid w:val="008214F4"/>
    <w:rsid w:val="008261C2"/>
    <w:rsid w:val="00826760"/>
    <w:rsid w:val="00826DA7"/>
    <w:rsid w:val="00827FAF"/>
    <w:rsid w:val="008310F8"/>
    <w:rsid w:val="00851DF7"/>
    <w:rsid w:val="00855ACE"/>
    <w:rsid w:val="008616F6"/>
    <w:rsid w:val="0086428E"/>
    <w:rsid w:val="008654CD"/>
    <w:rsid w:val="008662F6"/>
    <w:rsid w:val="008707B9"/>
    <w:rsid w:val="0087435C"/>
    <w:rsid w:val="008811A0"/>
    <w:rsid w:val="00885C04"/>
    <w:rsid w:val="008865DC"/>
    <w:rsid w:val="00887D46"/>
    <w:rsid w:val="008921B0"/>
    <w:rsid w:val="00893F52"/>
    <w:rsid w:val="00896E3C"/>
    <w:rsid w:val="00896FF1"/>
    <w:rsid w:val="00897C32"/>
    <w:rsid w:val="008A0726"/>
    <w:rsid w:val="008A18CF"/>
    <w:rsid w:val="008A26B0"/>
    <w:rsid w:val="008A4394"/>
    <w:rsid w:val="008A62EB"/>
    <w:rsid w:val="008A6CDA"/>
    <w:rsid w:val="008B0553"/>
    <w:rsid w:val="008B2F5E"/>
    <w:rsid w:val="008B3854"/>
    <w:rsid w:val="008B4167"/>
    <w:rsid w:val="008B4F7B"/>
    <w:rsid w:val="008B4FB4"/>
    <w:rsid w:val="008B6870"/>
    <w:rsid w:val="008B7496"/>
    <w:rsid w:val="008C08A5"/>
    <w:rsid w:val="008C1AFA"/>
    <w:rsid w:val="008C5B84"/>
    <w:rsid w:val="008C7927"/>
    <w:rsid w:val="008D3FCF"/>
    <w:rsid w:val="008E013F"/>
    <w:rsid w:val="008E1A22"/>
    <w:rsid w:val="008E2E97"/>
    <w:rsid w:val="008E2FB2"/>
    <w:rsid w:val="008E37C3"/>
    <w:rsid w:val="008F403C"/>
    <w:rsid w:val="008F6724"/>
    <w:rsid w:val="008F6AFD"/>
    <w:rsid w:val="008F7F21"/>
    <w:rsid w:val="00900E2B"/>
    <w:rsid w:val="009011B9"/>
    <w:rsid w:val="009023EA"/>
    <w:rsid w:val="00905B63"/>
    <w:rsid w:val="00906EAF"/>
    <w:rsid w:val="00911135"/>
    <w:rsid w:val="009121BC"/>
    <w:rsid w:val="009121E1"/>
    <w:rsid w:val="0091347D"/>
    <w:rsid w:val="00914D7E"/>
    <w:rsid w:val="00915A9B"/>
    <w:rsid w:val="00916C49"/>
    <w:rsid w:val="0092086C"/>
    <w:rsid w:val="00921736"/>
    <w:rsid w:val="00921BD2"/>
    <w:rsid w:val="00922D33"/>
    <w:rsid w:val="009245F4"/>
    <w:rsid w:val="00924DB4"/>
    <w:rsid w:val="00924DC6"/>
    <w:rsid w:val="00926B99"/>
    <w:rsid w:val="009276C4"/>
    <w:rsid w:val="0092797F"/>
    <w:rsid w:val="009318A0"/>
    <w:rsid w:val="00931D8E"/>
    <w:rsid w:val="009330B5"/>
    <w:rsid w:val="00935002"/>
    <w:rsid w:val="00937F14"/>
    <w:rsid w:val="00942D6D"/>
    <w:rsid w:val="0094307F"/>
    <w:rsid w:val="0094537E"/>
    <w:rsid w:val="00945B92"/>
    <w:rsid w:val="0094636B"/>
    <w:rsid w:val="00947608"/>
    <w:rsid w:val="009529D5"/>
    <w:rsid w:val="00957834"/>
    <w:rsid w:val="009641FD"/>
    <w:rsid w:val="00965A97"/>
    <w:rsid w:val="00965D69"/>
    <w:rsid w:val="0096670B"/>
    <w:rsid w:val="00966B3C"/>
    <w:rsid w:val="00967144"/>
    <w:rsid w:val="00973019"/>
    <w:rsid w:val="00974808"/>
    <w:rsid w:val="00975D3D"/>
    <w:rsid w:val="009771F1"/>
    <w:rsid w:val="00977771"/>
    <w:rsid w:val="009777B1"/>
    <w:rsid w:val="00981A00"/>
    <w:rsid w:val="00981BA5"/>
    <w:rsid w:val="00983FF9"/>
    <w:rsid w:val="00985917"/>
    <w:rsid w:val="0098697D"/>
    <w:rsid w:val="00990427"/>
    <w:rsid w:val="00991647"/>
    <w:rsid w:val="00995F2A"/>
    <w:rsid w:val="009962C4"/>
    <w:rsid w:val="00996C0D"/>
    <w:rsid w:val="009A0C30"/>
    <w:rsid w:val="009A217A"/>
    <w:rsid w:val="009A2260"/>
    <w:rsid w:val="009A3CD0"/>
    <w:rsid w:val="009A54DC"/>
    <w:rsid w:val="009A6C79"/>
    <w:rsid w:val="009A78EB"/>
    <w:rsid w:val="009B0A66"/>
    <w:rsid w:val="009B1192"/>
    <w:rsid w:val="009B39DD"/>
    <w:rsid w:val="009C3632"/>
    <w:rsid w:val="009C38CC"/>
    <w:rsid w:val="009C4992"/>
    <w:rsid w:val="009C4FED"/>
    <w:rsid w:val="009C7CEC"/>
    <w:rsid w:val="009C7E53"/>
    <w:rsid w:val="009D01FF"/>
    <w:rsid w:val="009D05A8"/>
    <w:rsid w:val="009D09F1"/>
    <w:rsid w:val="009D25EE"/>
    <w:rsid w:val="009D342E"/>
    <w:rsid w:val="009D38B7"/>
    <w:rsid w:val="009D4157"/>
    <w:rsid w:val="009D442E"/>
    <w:rsid w:val="009D56F0"/>
    <w:rsid w:val="009D73C0"/>
    <w:rsid w:val="009D7CBD"/>
    <w:rsid w:val="009E1094"/>
    <w:rsid w:val="009E1C19"/>
    <w:rsid w:val="009E2780"/>
    <w:rsid w:val="009E3A4F"/>
    <w:rsid w:val="009E4799"/>
    <w:rsid w:val="009E5B74"/>
    <w:rsid w:val="009F03A5"/>
    <w:rsid w:val="009F0E0C"/>
    <w:rsid w:val="009F3040"/>
    <w:rsid w:val="009F3B5F"/>
    <w:rsid w:val="009F3D96"/>
    <w:rsid w:val="009F6AD6"/>
    <w:rsid w:val="009F6B3C"/>
    <w:rsid w:val="00A014A6"/>
    <w:rsid w:val="00A01ADA"/>
    <w:rsid w:val="00A02CAF"/>
    <w:rsid w:val="00A034AC"/>
    <w:rsid w:val="00A06796"/>
    <w:rsid w:val="00A067E5"/>
    <w:rsid w:val="00A06F8F"/>
    <w:rsid w:val="00A12324"/>
    <w:rsid w:val="00A1328E"/>
    <w:rsid w:val="00A14D58"/>
    <w:rsid w:val="00A16DD2"/>
    <w:rsid w:val="00A202D5"/>
    <w:rsid w:val="00A22EC5"/>
    <w:rsid w:val="00A25916"/>
    <w:rsid w:val="00A2601C"/>
    <w:rsid w:val="00A266EF"/>
    <w:rsid w:val="00A269FE"/>
    <w:rsid w:val="00A313CD"/>
    <w:rsid w:val="00A355D7"/>
    <w:rsid w:val="00A37592"/>
    <w:rsid w:val="00A4017A"/>
    <w:rsid w:val="00A4202E"/>
    <w:rsid w:val="00A4220F"/>
    <w:rsid w:val="00A42ABB"/>
    <w:rsid w:val="00A47134"/>
    <w:rsid w:val="00A47AC2"/>
    <w:rsid w:val="00A50A20"/>
    <w:rsid w:val="00A5170A"/>
    <w:rsid w:val="00A527D7"/>
    <w:rsid w:val="00A54465"/>
    <w:rsid w:val="00A54732"/>
    <w:rsid w:val="00A629C1"/>
    <w:rsid w:val="00A64AEE"/>
    <w:rsid w:val="00A6738B"/>
    <w:rsid w:val="00A675BB"/>
    <w:rsid w:val="00A72714"/>
    <w:rsid w:val="00A7596A"/>
    <w:rsid w:val="00A81380"/>
    <w:rsid w:val="00A83D6D"/>
    <w:rsid w:val="00A84329"/>
    <w:rsid w:val="00A86F86"/>
    <w:rsid w:val="00A87605"/>
    <w:rsid w:val="00A91058"/>
    <w:rsid w:val="00A9128B"/>
    <w:rsid w:val="00A912A1"/>
    <w:rsid w:val="00A91322"/>
    <w:rsid w:val="00A92ACE"/>
    <w:rsid w:val="00AA029A"/>
    <w:rsid w:val="00AA158E"/>
    <w:rsid w:val="00AA6BC8"/>
    <w:rsid w:val="00AA7059"/>
    <w:rsid w:val="00AB1D39"/>
    <w:rsid w:val="00AB2E4F"/>
    <w:rsid w:val="00AB39A4"/>
    <w:rsid w:val="00AB3B73"/>
    <w:rsid w:val="00AB4ADB"/>
    <w:rsid w:val="00AB6965"/>
    <w:rsid w:val="00AB6A8B"/>
    <w:rsid w:val="00AB7CDE"/>
    <w:rsid w:val="00AC4804"/>
    <w:rsid w:val="00AC7F1A"/>
    <w:rsid w:val="00AD10A7"/>
    <w:rsid w:val="00AD2637"/>
    <w:rsid w:val="00AD2761"/>
    <w:rsid w:val="00AD29CD"/>
    <w:rsid w:val="00AD29E7"/>
    <w:rsid w:val="00AD2D90"/>
    <w:rsid w:val="00AD33D2"/>
    <w:rsid w:val="00AD4A6F"/>
    <w:rsid w:val="00AD6833"/>
    <w:rsid w:val="00AD6C5E"/>
    <w:rsid w:val="00AE02AA"/>
    <w:rsid w:val="00AE0B95"/>
    <w:rsid w:val="00AE25B9"/>
    <w:rsid w:val="00AE4496"/>
    <w:rsid w:val="00AE6E37"/>
    <w:rsid w:val="00AF3410"/>
    <w:rsid w:val="00AF5A65"/>
    <w:rsid w:val="00AF5E72"/>
    <w:rsid w:val="00AF63C8"/>
    <w:rsid w:val="00AF78E3"/>
    <w:rsid w:val="00B005B0"/>
    <w:rsid w:val="00B01850"/>
    <w:rsid w:val="00B056B9"/>
    <w:rsid w:val="00B074E5"/>
    <w:rsid w:val="00B07CB2"/>
    <w:rsid w:val="00B10CB5"/>
    <w:rsid w:val="00B10F0C"/>
    <w:rsid w:val="00B13778"/>
    <w:rsid w:val="00B20402"/>
    <w:rsid w:val="00B21063"/>
    <w:rsid w:val="00B23BBB"/>
    <w:rsid w:val="00B23FBD"/>
    <w:rsid w:val="00B24A37"/>
    <w:rsid w:val="00B25D01"/>
    <w:rsid w:val="00B26965"/>
    <w:rsid w:val="00B31521"/>
    <w:rsid w:val="00B33426"/>
    <w:rsid w:val="00B33927"/>
    <w:rsid w:val="00B33E54"/>
    <w:rsid w:val="00B42F7C"/>
    <w:rsid w:val="00B43135"/>
    <w:rsid w:val="00B46448"/>
    <w:rsid w:val="00B4706C"/>
    <w:rsid w:val="00B47959"/>
    <w:rsid w:val="00B537BC"/>
    <w:rsid w:val="00B555F0"/>
    <w:rsid w:val="00B56238"/>
    <w:rsid w:val="00B57F09"/>
    <w:rsid w:val="00B611BE"/>
    <w:rsid w:val="00B61C1F"/>
    <w:rsid w:val="00B64B91"/>
    <w:rsid w:val="00B722E4"/>
    <w:rsid w:val="00B75C5B"/>
    <w:rsid w:val="00B90D3A"/>
    <w:rsid w:val="00B9116C"/>
    <w:rsid w:val="00B914D7"/>
    <w:rsid w:val="00B938FB"/>
    <w:rsid w:val="00B9423E"/>
    <w:rsid w:val="00B97BE9"/>
    <w:rsid w:val="00BA1D03"/>
    <w:rsid w:val="00BA241B"/>
    <w:rsid w:val="00BA526B"/>
    <w:rsid w:val="00BA5C43"/>
    <w:rsid w:val="00BA7E3D"/>
    <w:rsid w:val="00BA7E9A"/>
    <w:rsid w:val="00BB0331"/>
    <w:rsid w:val="00BB13AE"/>
    <w:rsid w:val="00BB1CC8"/>
    <w:rsid w:val="00BB1D57"/>
    <w:rsid w:val="00BB2648"/>
    <w:rsid w:val="00BB3F79"/>
    <w:rsid w:val="00BB49AA"/>
    <w:rsid w:val="00BB69A0"/>
    <w:rsid w:val="00BC2D10"/>
    <w:rsid w:val="00BC2E26"/>
    <w:rsid w:val="00BC450B"/>
    <w:rsid w:val="00BC6045"/>
    <w:rsid w:val="00BC7DD9"/>
    <w:rsid w:val="00BD15F1"/>
    <w:rsid w:val="00BD1824"/>
    <w:rsid w:val="00BD201A"/>
    <w:rsid w:val="00BD2A94"/>
    <w:rsid w:val="00BD2B70"/>
    <w:rsid w:val="00BD2F83"/>
    <w:rsid w:val="00BD3B82"/>
    <w:rsid w:val="00BD671C"/>
    <w:rsid w:val="00BD7E64"/>
    <w:rsid w:val="00BE1706"/>
    <w:rsid w:val="00BE18FD"/>
    <w:rsid w:val="00BE194F"/>
    <w:rsid w:val="00BE31D5"/>
    <w:rsid w:val="00BE5348"/>
    <w:rsid w:val="00BE5E2C"/>
    <w:rsid w:val="00BF10E8"/>
    <w:rsid w:val="00BF13A3"/>
    <w:rsid w:val="00BF14D8"/>
    <w:rsid w:val="00BF18DA"/>
    <w:rsid w:val="00BF29D1"/>
    <w:rsid w:val="00BF3554"/>
    <w:rsid w:val="00BF4176"/>
    <w:rsid w:val="00BF6BBB"/>
    <w:rsid w:val="00C019F8"/>
    <w:rsid w:val="00C02968"/>
    <w:rsid w:val="00C128AD"/>
    <w:rsid w:val="00C1573B"/>
    <w:rsid w:val="00C16128"/>
    <w:rsid w:val="00C161C4"/>
    <w:rsid w:val="00C167B0"/>
    <w:rsid w:val="00C20464"/>
    <w:rsid w:val="00C222C1"/>
    <w:rsid w:val="00C23B2A"/>
    <w:rsid w:val="00C251FA"/>
    <w:rsid w:val="00C25B58"/>
    <w:rsid w:val="00C31223"/>
    <w:rsid w:val="00C31656"/>
    <w:rsid w:val="00C32229"/>
    <w:rsid w:val="00C3515A"/>
    <w:rsid w:val="00C359A7"/>
    <w:rsid w:val="00C37A9B"/>
    <w:rsid w:val="00C41623"/>
    <w:rsid w:val="00C42CBA"/>
    <w:rsid w:val="00C4377F"/>
    <w:rsid w:val="00C44959"/>
    <w:rsid w:val="00C44D29"/>
    <w:rsid w:val="00C46695"/>
    <w:rsid w:val="00C520D1"/>
    <w:rsid w:val="00C52E19"/>
    <w:rsid w:val="00C53266"/>
    <w:rsid w:val="00C53C4B"/>
    <w:rsid w:val="00C53DBE"/>
    <w:rsid w:val="00C56351"/>
    <w:rsid w:val="00C62983"/>
    <w:rsid w:val="00C66D9A"/>
    <w:rsid w:val="00C740C1"/>
    <w:rsid w:val="00C756B2"/>
    <w:rsid w:val="00C82103"/>
    <w:rsid w:val="00C826F1"/>
    <w:rsid w:val="00C829BD"/>
    <w:rsid w:val="00C83A35"/>
    <w:rsid w:val="00C84B54"/>
    <w:rsid w:val="00C85D48"/>
    <w:rsid w:val="00C86381"/>
    <w:rsid w:val="00C867DB"/>
    <w:rsid w:val="00C86EFC"/>
    <w:rsid w:val="00C87F80"/>
    <w:rsid w:val="00C93348"/>
    <w:rsid w:val="00C93AA4"/>
    <w:rsid w:val="00C94477"/>
    <w:rsid w:val="00C957BC"/>
    <w:rsid w:val="00CA0005"/>
    <w:rsid w:val="00CA0A86"/>
    <w:rsid w:val="00CA1A94"/>
    <w:rsid w:val="00CA5B15"/>
    <w:rsid w:val="00CA5C22"/>
    <w:rsid w:val="00CA7C18"/>
    <w:rsid w:val="00CB49A1"/>
    <w:rsid w:val="00CB72C2"/>
    <w:rsid w:val="00CB7510"/>
    <w:rsid w:val="00CC49D1"/>
    <w:rsid w:val="00CC4D8A"/>
    <w:rsid w:val="00CC6328"/>
    <w:rsid w:val="00CD117B"/>
    <w:rsid w:val="00CD1674"/>
    <w:rsid w:val="00CD17CE"/>
    <w:rsid w:val="00CD438F"/>
    <w:rsid w:val="00CD5F61"/>
    <w:rsid w:val="00CE0C2E"/>
    <w:rsid w:val="00CE141F"/>
    <w:rsid w:val="00CE163E"/>
    <w:rsid w:val="00CE38D6"/>
    <w:rsid w:val="00CE47A4"/>
    <w:rsid w:val="00CE77AE"/>
    <w:rsid w:val="00CF079B"/>
    <w:rsid w:val="00CF1C51"/>
    <w:rsid w:val="00CF1EAE"/>
    <w:rsid w:val="00CF5C00"/>
    <w:rsid w:val="00CF6A3A"/>
    <w:rsid w:val="00CF729A"/>
    <w:rsid w:val="00CF7655"/>
    <w:rsid w:val="00D04A74"/>
    <w:rsid w:val="00D06394"/>
    <w:rsid w:val="00D10BC5"/>
    <w:rsid w:val="00D14A4C"/>
    <w:rsid w:val="00D16D2E"/>
    <w:rsid w:val="00D21ED5"/>
    <w:rsid w:val="00D26D4A"/>
    <w:rsid w:val="00D2748A"/>
    <w:rsid w:val="00D275EF"/>
    <w:rsid w:val="00D27A5C"/>
    <w:rsid w:val="00D311EA"/>
    <w:rsid w:val="00D31356"/>
    <w:rsid w:val="00D33E26"/>
    <w:rsid w:val="00D34EB4"/>
    <w:rsid w:val="00D3589F"/>
    <w:rsid w:val="00D411E3"/>
    <w:rsid w:val="00D429AB"/>
    <w:rsid w:val="00D46F58"/>
    <w:rsid w:val="00D52F3D"/>
    <w:rsid w:val="00D53E29"/>
    <w:rsid w:val="00D53E90"/>
    <w:rsid w:val="00D54C6B"/>
    <w:rsid w:val="00D55B90"/>
    <w:rsid w:val="00D60AE2"/>
    <w:rsid w:val="00D622D0"/>
    <w:rsid w:val="00D64183"/>
    <w:rsid w:val="00D6623C"/>
    <w:rsid w:val="00D66A19"/>
    <w:rsid w:val="00D67CF5"/>
    <w:rsid w:val="00D737FF"/>
    <w:rsid w:val="00D74C4D"/>
    <w:rsid w:val="00D76484"/>
    <w:rsid w:val="00D77A9F"/>
    <w:rsid w:val="00D80830"/>
    <w:rsid w:val="00D825E4"/>
    <w:rsid w:val="00D82CB1"/>
    <w:rsid w:val="00D83FB8"/>
    <w:rsid w:val="00D8464F"/>
    <w:rsid w:val="00D85C5A"/>
    <w:rsid w:val="00D85CF9"/>
    <w:rsid w:val="00D86CAD"/>
    <w:rsid w:val="00D91206"/>
    <w:rsid w:val="00D9374F"/>
    <w:rsid w:val="00D937BA"/>
    <w:rsid w:val="00D9521E"/>
    <w:rsid w:val="00DA1038"/>
    <w:rsid w:val="00DA24C0"/>
    <w:rsid w:val="00DA5193"/>
    <w:rsid w:val="00DB05FA"/>
    <w:rsid w:val="00DB3185"/>
    <w:rsid w:val="00DB44AA"/>
    <w:rsid w:val="00DB68D0"/>
    <w:rsid w:val="00DC00CC"/>
    <w:rsid w:val="00DC144E"/>
    <w:rsid w:val="00DC1D8F"/>
    <w:rsid w:val="00DC4556"/>
    <w:rsid w:val="00DC5B9F"/>
    <w:rsid w:val="00DD0279"/>
    <w:rsid w:val="00DD1335"/>
    <w:rsid w:val="00DD18D7"/>
    <w:rsid w:val="00DD1FDD"/>
    <w:rsid w:val="00DE28EC"/>
    <w:rsid w:val="00DE294A"/>
    <w:rsid w:val="00DE3641"/>
    <w:rsid w:val="00DE36F1"/>
    <w:rsid w:val="00DE590C"/>
    <w:rsid w:val="00DE6D95"/>
    <w:rsid w:val="00DE7B52"/>
    <w:rsid w:val="00DF00B3"/>
    <w:rsid w:val="00DF354A"/>
    <w:rsid w:val="00DF6023"/>
    <w:rsid w:val="00DF603A"/>
    <w:rsid w:val="00DF7892"/>
    <w:rsid w:val="00E019C1"/>
    <w:rsid w:val="00E04216"/>
    <w:rsid w:val="00E04369"/>
    <w:rsid w:val="00E063C8"/>
    <w:rsid w:val="00E069F6"/>
    <w:rsid w:val="00E10469"/>
    <w:rsid w:val="00E121C4"/>
    <w:rsid w:val="00E12637"/>
    <w:rsid w:val="00E137E8"/>
    <w:rsid w:val="00E14DC1"/>
    <w:rsid w:val="00E16590"/>
    <w:rsid w:val="00E22690"/>
    <w:rsid w:val="00E23484"/>
    <w:rsid w:val="00E253E4"/>
    <w:rsid w:val="00E2599A"/>
    <w:rsid w:val="00E267DF"/>
    <w:rsid w:val="00E26A40"/>
    <w:rsid w:val="00E3169C"/>
    <w:rsid w:val="00E352A9"/>
    <w:rsid w:val="00E3755B"/>
    <w:rsid w:val="00E40574"/>
    <w:rsid w:val="00E40D0F"/>
    <w:rsid w:val="00E420BC"/>
    <w:rsid w:val="00E43692"/>
    <w:rsid w:val="00E440B9"/>
    <w:rsid w:val="00E460F2"/>
    <w:rsid w:val="00E50A21"/>
    <w:rsid w:val="00E512F2"/>
    <w:rsid w:val="00E51DB6"/>
    <w:rsid w:val="00E521B3"/>
    <w:rsid w:val="00E529F2"/>
    <w:rsid w:val="00E545E4"/>
    <w:rsid w:val="00E553B4"/>
    <w:rsid w:val="00E564EC"/>
    <w:rsid w:val="00E57402"/>
    <w:rsid w:val="00E607BC"/>
    <w:rsid w:val="00E63308"/>
    <w:rsid w:val="00E64448"/>
    <w:rsid w:val="00E6527C"/>
    <w:rsid w:val="00E654C9"/>
    <w:rsid w:val="00E65783"/>
    <w:rsid w:val="00E65F89"/>
    <w:rsid w:val="00E67AFE"/>
    <w:rsid w:val="00E67D80"/>
    <w:rsid w:val="00E70299"/>
    <w:rsid w:val="00E72373"/>
    <w:rsid w:val="00E74054"/>
    <w:rsid w:val="00E75C79"/>
    <w:rsid w:val="00E823B5"/>
    <w:rsid w:val="00E83891"/>
    <w:rsid w:val="00E84E05"/>
    <w:rsid w:val="00E85D45"/>
    <w:rsid w:val="00E862CE"/>
    <w:rsid w:val="00E87230"/>
    <w:rsid w:val="00E93D22"/>
    <w:rsid w:val="00E951B8"/>
    <w:rsid w:val="00EA0CB3"/>
    <w:rsid w:val="00EA2A1E"/>
    <w:rsid w:val="00EA57AD"/>
    <w:rsid w:val="00EA68BE"/>
    <w:rsid w:val="00EA6AB5"/>
    <w:rsid w:val="00EB0D65"/>
    <w:rsid w:val="00EB1831"/>
    <w:rsid w:val="00EB36B0"/>
    <w:rsid w:val="00EB4E1C"/>
    <w:rsid w:val="00EB533F"/>
    <w:rsid w:val="00EB59C9"/>
    <w:rsid w:val="00EB5D1D"/>
    <w:rsid w:val="00EC0C6D"/>
    <w:rsid w:val="00EC0DB9"/>
    <w:rsid w:val="00EC13DA"/>
    <w:rsid w:val="00EC1EB9"/>
    <w:rsid w:val="00EC46FF"/>
    <w:rsid w:val="00EC57C1"/>
    <w:rsid w:val="00EC5BF0"/>
    <w:rsid w:val="00EC5DF8"/>
    <w:rsid w:val="00EC6B25"/>
    <w:rsid w:val="00EC7B11"/>
    <w:rsid w:val="00EC7BC9"/>
    <w:rsid w:val="00ED1B0B"/>
    <w:rsid w:val="00ED2163"/>
    <w:rsid w:val="00ED3B95"/>
    <w:rsid w:val="00ED488D"/>
    <w:rsid w:val="00EE2BEA"/>
    <w:rsid w:val="00EE4235"/>
    <w:rsid w:val="00EE6AE2"/>
    <w:rsid w:val="00EF1CBF"/>
    <w:rsid w:val="00EF282C"/>
    <w:rsid w:val="00EF5E24"/>
    <w:rsid w:val="00EF7C2E"/>
    <w:rsid w:val="00EF7DC0"/>
    <w:rsid w:val="00F00123"/>
    <w:rsid w:val="00F0362B"/>
    <w:rsid w:val="00F03BD3"/>
    <w:rsid w:val="00F0695D"/>
    <w:rsid w:val="00F105A2"/>
    <w:rsid w:val="00F106A1"/>
    <w:rsid w:val="00F10D78"/>
    <w:rsid w:val="00F1180F"/>
    <w:rsid w:val="00F119EC"/>
    <w:rsid w:val="00F12396"/>
    <w:rsid w:val="00F1411D"/>
    <w:rsid w:val="00F17C1C"/>
    <w:rsid w:val="00F210D4"/>
    <w:rsid w:val="00F214D9"/>
    <w:rsid w:val="00F21AAA"/>
    <w:rsid w:val="00F23319"/>
    <w:rsid w:val="00F2419B"/>
    <w:rsid w:val="00F255D6"/>
    <w:rsid w:val="00F265AD"/>
    <w:rsid w:val="00F27632"/>
    <w:rsid w:val="00F3055B"/>
    <w:rsid w:val="00F352C1"/>
    <w:rsid w:val="00F40037"/>
    <w:rsid w:val="00F40DE8"/>
    <w:rsid w:val="00F44374"/>
    <w:rsid w:val="00F53D7E"/>
    <w:rsid w:val="00F56101"/>
    <w:rsid w:val="00F56A7D"/>
    <w:rsid w:val="00F56A94"/>
    <w:rsid w:val="00F61AEC"/>
    <w:rsid w:val="00F6244F"/>
    <w:rsid w:val="00F65F28"/>
    <w:rsid w:val="00F66823"/>
    <w:rsid w:val="00F678F0"/>
    <w:rsid w:val="00F7183D"/>
    <w:rsid w:val="00F71F14"/>
    <w:rsid w:val="00F71FDD"/>
    <w:rsid w:val="00F72E5F"/>
    <w:rsid w:val="00F76E6D"/>
    <w:rsid w:val="00F77F8A"/>
    <w:rsid w:val="00F82C36"/>
    <w:rsid w:val="00F831DD"/>
    <w:rsid w:val="00F840A9"/>
    <w:rsid w:val="00F85D9E"/>
    <w:rsid w:val="00F86030"/>
    <w:rsid w:val="00F87435"/>
    <w:rsid w:val="00F91738"/>
    <w:rsid w:val="00F94197"/>
    <w:rsid w:val="00F9540C"/>
    <w:rsid w:val="00F95819"/>
    <w:rsid w:val="00F970B3"/>
    <w:rsid w:val="00F976E3"/>
    <w:rsid w:val="00F97753"/>
    <w:rsid w:val="00F97E9C"/>
    <w:rsid w:val="00FA122C"/>
    <w:rsid w:val="00FA2017"/>
    <w:rsid w:val="00FA3DEB"/>
    <w:rsid w:val="00FB032E"/>
    <w:rsid w:val="00FB047B"/>
    <w:rsid w:val="00FB0F42"/>
    <w:rsid w:val="00FB11D9"/>
    <w:rsid w:val="00FB1E5D"/>
    <w:rsid w:val="00FB31A3"/>
    <w:rsid w:val="00FB33D4"/>
    <w:rsid w:val="00FB3BA6"/>
    <w:rsid w:val="00FB4540"/>
    <w:rsid w:val="00FB53E3"/>
    <w:rsid w:val="00FB6608"/>
    <w:rsid w:val="00FC0FD3"/>
    <w:rsid w:val="00FC50B1"/>
    <w:rsid w:val="00FC6120"/>
    <w:rsid w:val="00FD3A29"/>
    <w:rsid w:val="00FD3E5B"/>
    <w:rsid w:val="00FD55BD"/>
    <w:rsid w:val="00FE1AA3"/>
    <w:rsid w:val="00FE2551"/>
    <w:rsid w:val="00FF17B5"/>
    <w:rsid w:val="00FF2F2D"/>
    <w:rsid w:val="00FF45E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unhideWhenUsed="0"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semiHidden/>
    <w:qFormat/>
    <w:rsid w:val="000E1BA5"/>
    <w:pPr>
      <w:keepNext/>
      <w:spacing w:before="120"/>
      <w:outlineLvl w:val="0"/>
    </w:pPr>
    <w:rPr>
      <w:rFonts w:eastAsia="Times New Roman"/>
      <w:sz w:val="24"/>
    </w:rPr>
  </w:style>
  <w:style w:type="paragraph" w:styleId="Ttulo1">
    <w:name w:val="heading 1"/>
    <w:basedOn w:val="Normal"/>
    <w:next w:val="Normal"/>
    <w:link w:val="Ttulo1Char"/>
    <w:uiPriority w:val="9"/>
    <w:semiHidden/>
    <w:qFormat/>
    <w:rsid w:val="00B33927"/>
    <w:pPr>
      <w:keepLines/>
      <w:numPr>
        <w:numId w:val="5"/>
      </w:numPr>
      <w:spacing w:before="480"/>
    </w:pPr>
    <w:rPr>
      <w:rFonts w:ascii="Cambria" w:hAnsi="Cambria"/>
      <w:b/>
      <w:bCs/>
      <w:color w:val="365F91"/>
      <w:sz w:val="28"/>
      <w:szCs w:val="28"/>
    </w:rPr>
  </w:style>
  <w:style w:type="paragraph" w:styleId="Ttulo2">
    <w:name w:val="heading 2"/>
    <w:basedOn w:val="Normal"/>
    <w:next w:val="Normal"/>
    <w:link w:val="Ttulo2Char"/>
    <w:uiPriority w:val="9"/>
    <w:semiHidden/>
    <w:qFormat/>
    <w:rsid w:val="00B33927"/>
    <w:pPr>
      <w:keepLines/>
      <w:numPr>
        <w:ilvl w:val="1"/>
        <w:numId w:val="5"/>
      </w:numPr>
      <w:spacing w:before="200"/>
      <w:outlineLvl w:val="1"/>
    </w:pPr>
    <w:rPr>
      <w:rFonts w:ascii="Cambria" w:hAnsi="Cambria"/>
      <w:b/>
      <w:bCs/>
      <w:color w:val="4F81BD"/>
      <w:sz w:val="26"/>
      <w:szCs w:val="26"/>
    </w:rPr>
  </w:style>
  <w:style w:type="paragraph" w:styleId="Ttulo3">
    <w:name w:val="heading 3"/>
    <w:basedOn w:val="Normal"/>
    <w:next w:val="Normal"/>
    <w:link w:val="Ttulo3Char"/>
    <w:uiPriority w:val="9"/>
    <w:unhideWhenUsed/>
    <w:rsid w:val="00B33927"/>
    <w:pPr>
      <w:keepLines/>
      <w:numPr>
        <w:ilvl w:val="2"/>
        <w:numId w:val="5"/>
      </w:numPr>
      <w:spacing w:before="200"/>
      <w:outlineLvl w:val="2"/>
    </w:pPr>
    <w:rPr>
      <w:rFonts w:ascii="Cambria" w:hAnsi="Cambria"/>
      <w:b/>
      <w:bCs/>
      <w:color w:val="4F81BD"/>
    </w:rPr>
  </w:style>
  <w:style w:type="paragraph" w:styleId="Ttulo4">
    <w:name w:val="heading 4"/>
    <w:basedOn w:val="Normal"/>
    <w:next w:val="Normal"/>
    <w:link w:val="Ttulo4Char"/>
    <w:uiPriority w:val="9"/>
    <w:unhideWhenUsed/>
    <w:rsid w:val="00B33927"/>
    <w:pPr>
      <w:keepLines/>
      <w:numPr>
        <w:ilvl w:val="3"/>
        <w:numId w:val="5"/>
      </w:numPr>
      <w:spacing w:before="200"/>
      <w:outlineLvl w:val="3"/>
    </w:pPr>
    <w:rPr>
      <w:rFonts w:ascii="Cambria" w:hAnsi="Cambria"/>
      <w:b/>
      <w:bCs/>
      <w:i/>
      <w:iCs/>
      <w:color w:val="4F81BD"/>
    </w:rPr>
  </w:style>
  <w:style w:type="paragraph" w:styleId="Ttulo5">
    <w:name w:val="heading 5"/>
    <w:basedOn w:val="Normal"/>
    <w:next w:val="Normal"/>
    <w:link w:val="Ttulo5Char"/>
    <w:uiPriority w:val="9"/>
    <w:semiHidden/>
    <w:unhideWhenUsed/>
    <w:qFormat/>
    <w:rsid w:val="00B33927"/>
    <w:pPr>
      <w:keepLines/>
      <w:numPr>
        <w:ilvl w:val="4"/>
        <w:numId w:val="5"/>
      </w:numPr>
      <w:spacing w:before="200"/>
      <w:outlineLvl w:val="4"/>
    </w:pPr>
    <w:rPr>
      <w:rFonts w:ascii="Cambria" w:hAnsi="Cambria"/>
      <w:color w:val="243F60"/>
    </w:rPr>
  </w:style>
  <w:style w:type="paragraph" w:styleId="Ttulo6">
    <w:name w:val="heading 6"/>
    <w:basedOn w:val="Normal"/>
    <w:next w:val="Normal"/>
    <w:link w:val="Ttulo6Char"/>
    <w:uiPriority w:val="9"/>
    <w:semiHidden/>
    <w:unhideWhenUsed/>
    <w:qFormat/>
    <w:rsid w:val="00B33927"/>
    <w:pPr>
      <w:keepLines/>
      <w:numPr>
        <w:ilvl w:val="5"/>
        <w:numId w:val="5"/>
      </w:numPr>
      <w:spacing w:before="200"/>
      <w:outlineLvl w:val="5"/>
    </w:pPr>
    <w:rPr>
      <w:rFonts w:ascii="Cambria" w:hAnsi="Cambria"/>
      <w:i/>
      <w:iCs/>
      <w:color w:val="243F60"/>
    </w:rPr>
  </w:style>
  <w:style w:type="paragraph" w:styleId="Ttulo7">
    <w:name w:val="heading 7"/>
    <w:basedOn w:val="Normal"/>
    <w:next w:val="Normal"/>
    <w:link w:val="Ttulo7Char"/>
    <w:uiPriority w:val="9"/>
    <w:semiHidden/>
    <w:unhideWhenUsed/>
    <w:qFormat/>
    <w:rsid w:val="00B33927"/>
    <w:pPr>
      <w:keepLines/>
      <w:numPr>
        <w:ilvl w:val="6"/>
        <w:numId w:val="5"/>
      </w:numPr>
      <w:spacing w:before="200"/>
      <w:outlineLvl w:val="6"/>
    </w:pPr>
    <w:rPr>
      <w:rFonts w:ascii="Cambria" w:hAnsi="Cambria"/>
      <w:i/>
      <w:iCs/>
      <w:color w:val="404040"/>
    </w:rPr>
  </w:style>
  <w:style w:type="paragraph" w:styleId="Ttulo8">
    <w:name w:val="heading 8"/>
    <w:basedOn w:val="Normal"/>
    <w:next w:val="Normal"/>
    <w:link w:val="Ttulo8Char"/>
    <w:uiPriority w:val="9"/>
    <w:semiHidden/>
    <w:unhideWhenUsed/>
    <w:qFormat/>
    <w:rsid w:val="00B33927"/>
    <w:pPr>
      <w:keepLines/>
      <w:numPr>
        <w:ilvl w:val="7"/>
        <w:numId w:val="5"/>
      </w:numPr>
      <w:spacing w:before="200"/>
      <w:outlineLvl w:val="7"/>
    </w:pPr>
    <w:rPr>
      <w:rFonts w:ascii="Cambria" w:hAnsi="Cambria"/>
      <w:color w:val="404040"/>
      <w:sz w:val="20"/>
    </w:rPr>
  </w:style>
  <w:style w:type="paragraph" w:styleId="Ttulo9">
    <w:name w:val="heading 9"/>
    <w:basedOn w:val="Normal"/>
    <w:next w:val="Normal"/>
    <w:link w:val="Ttulo9Char"/>
    <w:uiPriority w:val="9"/>
    <w:semiHidden/>
    <w:unhideWhenUsed/>
    <w:qFormat/>
    <w:rsid w:val="00B33927"/>
    <w:pPr>
      <w:keepLines/>
      <w:numPr>
        <w:ilvl w:val="8"/>
        <w:numId w:val="5"/>
      </w:numPr>
      <w:spacing w:before="200"/>
      <w:outlineLvl w:val="8"/>
    </w:pPr>
    <w:rPr>
      <w:rFonts w:ascii="Cambria" w:hAnsi="Cambria"/>
      <w:i/>
      <w:iCs/>
      <w:color w:val="40404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semiHidden/>
    <w:qFormat/>
    <w:rsid w:val="00B23FBD"/>
    <w:pPr>
      <w:jc w:val="both"/>
    </w:pPr>
  </w:style>
  <w:style w:type="numbering" w:customStyle="1" w:styleId="Estilo1">
    <w:name w:val="Estilo1"/>
    <w:uiPriority w:val="99"/>
    <w:rsid w:val="00B33927"/>
    <w:pPr>
      <w:numPr>
        <w:numId w:val="1"/>
      </w:numPr>
    </w:pPr>
  </w:style>
  <w:style w:type="paragraph" w:styleId="Rodap">
    <w:name w:val="footer"/>
    <w:basedOn w:val="Normal"/>
    <w:link w:val="RodapChar"/>
    <w:uiPriority w:val="99"/>
    <w:semiHidden/>
    <w:unhideWhenUsed/>
    <w:rsid w:val="00B33927"/>
    <w:pPr>
      <w:tabs>
        <w:tab w:val="center" w:pos="4252"/>
        <w:tab w:val="right" w:pos="8504"/>
      </w:tabs>
    </w:pPr>
  </w:style>
  <w:style w:type="character" w:customStyle="1" w:styleId="RodapChar">
    <w:name w:val="Rodapé Char"/>
    <w:basedOn w:val="Fontepargpadro"/>
    <w:link w:val="Rodap"/>
    <w:uiPriority w:val="99"/>
    <w:semiHidden/>
    <w:rsid w:val="00B33927"/>
    <w:rPr>
      <w:rFonts w:eastAsia="Times New Roman"/>
      <w:szCs w:val="20"/>
      <w:lang w:eastAsia="pt-BR"/>
    </w:rPr>
  </w:style>
  <w:style w:type="character" w:customStyle="1" w:styleId="Ttulo1Char">
    <w:name w:val="Título 1 Char"/>
    <w:basedOn w:val="Fontepargpadro"/>
    <w:link w:val="Ttulo1"/>
    <w:uiPriority w:val="9"/>
    <w:semiHidden/>
    <w:rsid w:val="00B33927"/>
    <w:rPr>
      <w:rFonts w:ascii="Cambria" w:eastAsia="Times New Roman" w:hAnsi="Cambria"/>
      <w:b/>
      <w:bCs/>
      <w:color w:val="365F91"/>
      <w:sz w:val="28"/>
      <w:szCs w:val="28"/>
    </w:rPr>
  </w:style>
  <w:style w:type="paragraph" w:styleId="NormalWeb">
    <w:name w:val="Normal (Web)"/>
    <w:basedOn w:val="Normal"/>
    <w:uiPriority w:val="99"/>
    <w:semiHidden/>
    <w:rsid w:val="00B33927"/>
    <w:pPr>
      <w:spacing w:before="100" w:after="100"/>
    </w:pPr>
  </w:style>
  <w:style w:type="paragraph" w:customStyle="1" w:styleId="Prembulo">
    <w:name w:val="Preâmbulo"/>
    <w:basedOn w:val="Normal"/>
    <w:qFormat/>
    <w:rsid w:val="005C6BAB"/>
    <w:pPr>
      <w:widowControl w:val="0"/>
      <w:spacing w:before="60"/>
      <w:ind w:left="5103"/>
      <w:jc w:val="both"/>
    </w:pPr>
    <w:rPr>
      <w:b/>
      <w:snapToGrid w:val="0"/>
    </w:rPr>
  </w:style>
  <w:style w:type="numbering" w:customStyle="1" w:styleId="Estilo2">
    <w:name w:val="Estilo2"/>
    <w:uiPriority w:val="99"/>
    <w:rsid w:val="00B33927"/>
    <w:pPr>
      <w:numPr>
        <w:numId w:val="2"/>
      </w:numPr>
    </w:pPr>
  </w:style>
  <w:style w:type="numbering" w:customStyle="1" w:styleId="TCU">
    <w:name w:val="TCU"/>
    <w:uiPriority w:val="99"/>
    <w:rsid w:val="0001458F"/>
    <w:pPr>
      <w:numPr>
        <w:numId w:val="3"/>
      </w:numPr>
    </w:pPr>
  </w:style>
  <w:style w:type="paragraph" w:styleId="Recuodecorpodetexto">
    <w:name w:val="Body Text Indent"/>
    <w:basedOn w:val="Normal"/>
    <w:link w:val="RecuodecorpodetextoChar"/>
    <w:uiPriority w:val="99"/>
    <w:semiHidden/>
    <w:unhideWhenUsed/>
    <w:rsid w:val="00B33927"/>
    <w:pPr>
      <w:spacing w:after="120"/>
      <w:ind w:left="283"/>
    </w:pPr>
  </w:style>
  <w:style w:type="character" w:customStyle="1" w:styleId="RecuodecorpodetextoChar">
    <w:name w:val="Recuo de corpo de texto Char"/>
    <w:basedOn w:val="Fontepargpadro"/>
    <w:link w:val="Recuodecorpodetexto"/>
    <w:uiPriority w:val="99"/>
    <w:semiHidden/>
    <w:rsid w:val="00B33927"/>
    <w:rPr>
      <w:rFonts w:eastAsia="Times New Roman"/>
      <w:szCs w:val="20"/>
      <w:lang w:eastAsia="pt-BR"/>
    </w:rPr>
  </w:style>
  <w:style w:type="numbering" w:customStyle="1" w:styleId="1nvel">
    <w:name w:val="1º nível"/>
    <w:uiPriority w:val="99"/>
    <w:rsid w:val="00B33927"/>
    <w:pPr>
      <w:numPr>
        <w:numId w:val="4"/>
      </w:numPr>
    </w:pPr>
  </w:style>
  <w:style w:type="character" w:customStyle="1" w:styleId="Ttulo2Char">
    <w:name w:val="Título 2 Char"/>
    <w:basedOn w:val="Fontepargpadro"/>
    <w:link w:val="Ttulo2"/>
    <w:uiPriority w:val="9"/>
    <w:semiHidden/>
    <w:rsid w:val="00B33927"/>
    <w:rPr>
      <w:rFonts w:ascii="Cambria" w:eastAsia="Times New Roman" w:hAnsi="Cambria"/>
      <w:b/>
      <w:bCs/>
      <w:color w:val="4F81BD"/>
      <w:sz w:val="26"/>
      <w:szCs w:val="26"/>
    </w:rPr>
  </w:style>
  <w:style w:type="character" w:customStyle="1" w:styleId="Ttulo3Char">
    <w:name w:val="Título 3 Char"/>
    <w:basedOn w:val="Fontepargpadro"/>
    <w:link w:val="Ttulo3"/>
    <w:uiPriority w:val="9"/>
    <w:rsid w:val="00B33927"/>
    <w:rPr>
      <w:rFonts w:ascii="Cambria" w:eastAsia="Times New Roman" w:hAnsi="Cambria"/>
      <w:b/>
      <w:bCs/>
      <w:color w:val="4F81BD"/>
      <w:sz w:val="24"/>
    </w:rPr>
  </w:style>
  <w:style w:type="character" w:customStyle="1" w:styleId="Ttulo4Char">
    <w:name w:val="Título 4 Char"/>
    <w:basedOn w:val="Fontepargpadro"/>
    <w:link w:val="Ttulo4"/>
    <w:uiPriority w:val="9"/>
    <w:rsid w:val="00B33927"/>
    <w:rPr>
      <w:rFonts w:ascii="Cambria" w:eastAsia="Times New Roman" w:hAnsi="Cambria"/>
      <w:b/>
      <w:bCs/>
      <w:i/>
      <w:iCs/>
      <w:color w:val="4F81BD"/>
      <w:sz w:val="24"/>
    </w:rPr>
  </w:style>
  <w:style w:type="character" w:customStyle="1" w:styleId="Ttulo5Char">
    <w:name w:val="Título 5 Char"/>
    <w:basedOn w:val="Fontepargpadro"/>
    <w:link w:val="Ttulo5"/>
    <w:uiPriority w:val="9"/>
    <w:semiHidden/>
    <w:rsid w:val="00B33927"/>
    <w:rPr>
      <w:rFonts w:ascii="Cambria" w:eastAsia="Times New Roman" w:hAnsi="Cambria"/>
      <w:color w:val="243F60"/>
      <w:sz w:val="24"/>
    </w:rPr>
  </w:style>
  <w:style w:type="character" w:customStyle="1" w:styleId="Ttulo6Char">
    <w:name w:val="Título 6 Char"/>
    <w:basedOn w:val="Fontepargpadro"/>
    <w:link w:val="Ttulo6"/>
    <w:uiPriority w:val="9"/>
    <w:semiHidden/>
    <w:rsid w:val="00B33927"/>
    <w:rPr>
      <w:rFonts w:ascii="Cambria" w:eastAsia="Times New Roman" w:hAnsi="Cambria"/>
      <w:i/>
      <w:iCs/>
      <w:color w:val="243F60"/>
      <w:sz w:val="24"/>
    </w:rPr>
  </w:style>
  <w:style w:type="character" w:customStyle="1" w:styleId="Ttulo7Char">
    <w:name w:val="Título 7 Char"/>
    <w:basedOn w:val="Fontepargpadro"/>
    <w:link w:val="Ttulo7"/>
    <w:uiPriority w:val="9"/>
    <w:semiHidden/>
    <w:rsid w:val="00B33927"/>
    <w:rPr>
      <w:rFonts w:ascii="Cambria" w:eastAsia="Times New Roman" w:hAnsi="Cambria"/>
      <w:i/>
      <w:iCs/>
      <w:color w:val="404040"/>
      <w:sz w:val="24"/>
    </w:rPr>
  </w:style>
  <w:style w:type="character" w:customStyle="1" w:styleId="Ttulo8Char">
    <w:name w:val="Título 8 Char"/>
    <w:basedOn w:val="Fontepargpadro"/>
    <w:link w:val="Ttulo8"/>
    <w:uiPriority w:val="9"/>
    <w:semiHidden/>
    <w:rsid w:val="00B33927"/>
    <w:rPr>
      <w:rFonts w:ascii="Cambria" w:eastAsia="Times New Roman" w:hAnsi="Cambria"/>
      <w:color w:val="404040"/>
    </w:rPr>
  </w:style>
  <w:style w:type="character" w:customStyle="1" w:styleId="Ttulo9Char">
    <w:name w:val="Título 9 Char"/>
    <w:basedOn w:val="Fontepargpadro"/>
    <w:link w:val="Ttulo9"/>
    <w:uiPriority w:val="9"/>
    <w:semiHidden/>
    <w:rsid w:val="00B33927"/>
    <w:rPr>
      <w:rFonts w:ascii="Cambria" w:eastAsia="Times New Roman" w:hAnsi="Cambria"/>
      <w:i/>
      <w:iCs/>
      <w:color w:val="404040"/>
    </w:rPr>
  </w:style>
  <w:style w:type="paragraph" w:customStyle="1" w:styleId="Transcrio">
    <w:name w:val="Transcrição"/>
    <w:basedOn w:val="Normal"/>
    <w:qFormat/>
    <w:rsid w:val="00F105A2"/>
    <w:pPr>
      <w:tabs>
        <w:tab w:val="left" w:pos="1134"/>
      </w:tabs>
      <w:ind w:left="1134"/>
      <w:jc w:val="both"/>
    </w:pPr>
    <w:rPr>
      <w:sz w:val="22"/>
      <w:szCs w:val="22"/>
    </w:rPr>
  </w:style>
  <w:style w:type="character" w:customStyle="1" w:styleId="Termoestrangeiro">
    <w:name w:val="Termo estrangeiro"/>
    <w:basedOn w:val="Fontepargpadro"/>
    <w:uiPriority w:val="1"/>
    <w:qFormat/>
    <w:rsid w:val="00B33927"/>
    <w:rPr>
      <w:rFonts w:ascii="Times New Roman" w:hAnsi="Times New Roman"/>
      <w:i/>
      <w:color w:val="auto"/>
      <w:sz w:val="24"/>
    </w:rPr>
  </w:style>
  <w:style w:type="character" w:customStyle="1" w:styleId="Textonormal">
    <w:name w:val="Texto normal"/>
    <w:basedOn w:val="Termoestrangeiro"/>
    <w:uiPriority w:val="1"/>
    <w:qFormat/>
    <w:rsid w:val="00B33927"/>
    <w:rPr>
      <w:rFonts w:ascii="Times New Roman" w:hAnsi="Times New Roman"/>
      <w:i w:val="0"/>
      <w:color w:val="auto"/>
      <w:sz w:val="24"/>
    </w:rPr>
  </w:style>
  <w:style w:type="paragraph" w:styleId="Cabealho">
    <w:name w:val="header"/>
    <w:basedOn w:val="Normal"/>
    <w:link w:val="CabealhoChar"/>
    <w:uiPriority w:val="99"/>
    <w:semiHidden/>
    <w:unhideWhenUsed/>
    <w:rsid w:val="00B33927"/>
    <w:pPr>
      <w:tabs>
        <w:tab w:val="center" w:pos="4252"/>
        <w:tab w:val="right" w:pos="8504"/>
      </w:tabs>
      <w:spacing w:before="0"/>
    </w:pPr>
  </w:style>
  <w:style w:type="character" w:customStyle="1" w:styleId="CabealhoChar">
    <w:name w:val="Cabeçalho Char"/>
    <w:basedOn w:val="Fontepargpadro"/>
    <w:link w:val="Cabealho"/>
    <w:uiPriority w:val="99"/>
    <w:semiHidden/>
    <w:rsid w:val="00B33927"/>
    <w:rPr>
      <w:rFonts w:eastAsia="Times New Roman"/>
      <w:szCs w:val="20"/>
      <w:lang w:eastAsia="pt-BR"/>
    </w:rPr>
  </w:style>
  <w:style w:type="paragraph" w:customStyle="1" w:styleId="Ttulononumerado-1nvel">
    <w:name w:val="Título não numerado - 1º nível"/>
    <w:basedOn w:val="Normal"/>
    <w:qFormat/>
    <w:rsid w:val="0065265C"/>
    <w:pPr>
      <w:jc w:val="both"/>
    </w:pPr>
    <w:rPr>
      <w:b/>
      <w:caps/>
    </w:rPr>
  </w:style>
  <w:style w:type="paragraph" w:customStyle="1" w:styleId="Ttulononumerado-demaisnveis">
    <w:name w:val="Título não numerado - demais níveis"/>
    <w:basedOn w:val="Normal"/>
    <w:qFormat/>
    <w:rsid w:val="00176DD5"/>
    <w:rPr>
      <w:u w:val="single"/>
    </w:rPr>
  </w:style>
  <w:style w:type="paragraph" w:customStyle="1" w:styleId="Pargrafo-1nvel">
    <w:name w:val="Parágrafo - 1º nível"/>
    <w:basedOn w:val="PargrafodaLista"/>
    <w:qFormat/>
    <w:rsid w:val="00080B86"/>
    <w:pPr>
      <w:keepNext w:val="0"/>
      <w:numPr>
        <w:numId w:val="6"/>
      </w:numPr>
      <w:tabs>
        <w:tab w:val="left" w:pos="1134"/>
      </w:tabs>
    </w:pPr>
  </w:style>
  <w:style w:type="paragraph" w:customStyle="1" w:styleId="Ttulonumerado-1nvel">
    <w:name w:val="Título numerado - 1º nível"/>
    <w:basedOn w:val="PargrafodaLista"/>
    <w:qFormat/>
    <w:rsid w:val="00965A97"/>
    <w:pPr>
      <w:numPr>
        <w:numId w:val="7"/>
      </w:numPr>
      <w:tabs>
        <w:tab w:val="left" w:pos="1134"/>
      </w:tabs>
      <w:ind w:left="0" w:firstLine="0"/>
    </w:pPr>
    <w:rPr>
      <w:b/>
    </w:rPr>
  </w:style>
  <w:style w:type="paragraph" w:customStyle="1" w:styleId="Ttulonumerado-2nvel">
    <w:name w:val="Título numerado - 2º nível"/>
    <w:basedOn w:val="PargrafodaLista"/>
    <w:qFormat/>
    <w:rsid w:val="00B23FBD"/>
    <w:pPr>
      <w:numPr>
        <w:ilvl w:val="1"/>
        <w:numId w:val="7"/>
      </w:numPr>
      <w:tabs>
        <w:tab w:val="left" w:pos="1134"/>
      </w:tabs>
      <w:ind w:left="0" w:firstLine="0"/>
    </w:pPr>
    <w:rPr>
      <w:u w:val="single"/>
    </w:rPr>
  </w:style>
  <w:style w:type="paragraph" w:customStyle="1" w:styleId="Ttulonumerado-3nvel">
    <w:name w:val="Título numerado - 3º nível"/>
    <w:basedOn w:val="PargrafodaLista"/>
    <w:qFormat/>
    <w:rsid w:val="00B23FBD"/>
    <w:pPr>
      <w:numPr>
        <w:ilvl w:val="2"/>
        <w:numId w:val="7"/>
      </w:numPr>
      <w:tabs>
        <w:tab w:val="left" w:pos="1134"/>
      </w:tabs>
      <w:ind w:left="0" w:firstLine="0"/>
    </w:pPr>
    <w:rPr>
      <w:u w:val="single"/>
    </w:rPr>
  </w:style>
  <w:style w:type="paragraph" w:customStyle="1" w:styleId="Ttulonumerado-4nvel">
    <w:name w:val="Título numerado - 4º nível"/>
    <w:basedOn w:val="PargrafodaLista"/>
    <w:qFormat/>
    <w:rsid w:val="00B23FBD"/>
    <w:pPr>
      <w:numPr>
        <w:ilvl w:val="3"/>
        <w:numId w:val="7"/>
      </w:numPr>
      <w:tabs>
        <w:tab w:val="left" w:pos="1134"/>
      </w:tabs>
      <w:ind w:left="0" w:firstLine="0"/>
    </w:pPr>
    <w:rPr>
      <w:u w:val="single"/>
    </w:rPr>
  </w:style>
  <w:style w:type="paragraph" w:customStyle="1" w:styleId="Fecho">
    <w:name w:val="Fecho"/>
    <w:basedOn w:val="Normal"/>
    <w:qFormat/>
    <w:rsid w:val="00981BA5"/>
    <w:pPr>
      <w:spacing w:before="0"/>
      <w:ind w:left="5103"/>
      <w:jc w:val="center"/>
    </w:pPr>
  </w:style>
  <w:style w:type="paragraph" w:customStyle="1" w:styleId="Pargrafo-2nvel">
    <w:name w:val="Parágrafo - 2º nível"/>
    <w:basedOn w:val="Normal"/>
    <w:qFormat/>
    <w:rsid w:val="00080B86"/>
    <w:pPr>
      <w:keepNext w:val="0"/>
      <w:numPr>
        <w:ilvl w:val="1"/>
        <w:numId w:val="6"/>
      </w:numPr>
      <w:tabs>
        <w:tab w:val="left" w:pos="1134"/>
      </w:tabs>
      <w:jc w:val="both"/>
    </w:pPr>
  </w:style>
  <w:style w:type="paragraph" w:customStyle="1" w:styleId="Pargrafo-3nvel">
    <w:name w:val="Parágrafo - 3º nível"/>
    <w:basedOn w:val="Normal"/>
    <w:qFormat/>
    <w:rsid w:val="00080B86"/>
    <w:pPr>
      <w:keepNext w:val="0"/>
      <w:numPr>
        <w:ilvl w:val="2"/>
        <w:numId w:val="6"/>
      </w:numPr>
      <w:tabs>
        <w:tab w:val="left" w:pos="1134"/>
      </w:tabs>
      <w:ind w:left="0"/>
      <w:jc w:val="both"/>
    </w:pPr>
  </w:style>
  <w:style w:type="character" w:styleId="Hyperlink">
    <w:name w:val="Hyperlink"/>
    <w:basedOn w:val="Fontepargpadro"/>
    <w:uiPriority w:val="99"/>
    <w:unhideWhenUsed/>
    <w:rsid w:val="00696804"/>
    <w:rPr>
      <w:color w:val="0000FF"/>
      <w:u w:val="single"/>
    </w:rPr>
  </w:style>
  <w:style w:type="paragraph" w:customStyle="1" w:styleId="ListadeInformaes">
    <w:name w:val="Lista de Informações"/>
    <w:qFormat/>
    <w:rsid w:val="001F30C5"/>
    <w:pPr>
      <w:widowControl w:val="0"/>
      <w:numPr>
        <w:numId w:val="8"/>
      </w:numPr>
      <w:suppressAutoHyphens/>
      <w:spacing w:before="60"/>
      <w:jc w:val="both"/>
    </w:pPr>
    <w:rPr>
      <w:rFonts w:eastAsia="Times New Roman"/>
      <w:sz w:val="24"/>
    </w:rPr>
  </w:style>
  <w:style w:type="paragraph" w:customStyle="1" w:styleId="Default">
    <w:name w:val="Default"/>
    <w:rsid w:val="007C5031"/>
    <w:pPr>
      <w:autoSpaceDE w:val="0"/>
      <w:autoSpaceDN w:val="0"/>
      <w:adjustRightInd w:val="0"/>
    </w:pPr>
    <w:rPr>
      <w:color w:val="000000"/>
      <w:sz w:val="24"/>
      <w:szCs w:val="24"/>
    </w:rPr>
  </w:style>
  <w:style w:type="paragraph" w:styleId="Textodebalo">
    <w:name w:val="Balloon Text"/>
    <w:basedOn w:val="Normal"/>
    <w:link w:val="TextodebaloChar"/>
    <w:uiPriority w:val="99"/>
    <w:semiHidden/>
    <w:unhideWhenUsed/>
    <w:rsid w:val="00CE163E"/>
    <w:pPr>
      <w:spacing w:before="0"/>
    </w:pPr>
    <w:rPr>
      <w:rFonts w:ascii="Tahoma" w:hAnsi="Tahoma" w:cs="Tahoma"/>
      <w:sz w:val="16"/>
      <w:szCs w:val="16"/>
    </w:rPr>
  </w:style>
  <w:style w:type="character" w:customStyle="1" w:styleId="TextodebaloChar">
    <w:name w:val="Texto de balão Char"/>
    <w:basedOn w:val="Fontepargpadro"/>
    <w:link w:val="Textodebalo"/>
    <w:uiPriority w:val="99"/>
    <w:semiHidden/>
    <w:rsid w:val="00CE163E"/>
    <w:rPr>
      <w:rFonts w:ascii="Tahoma" w:eastAsia="Times New Roman" w:hAnsi="Tahoma" w:cs="Tahoma"/>
      <w:sz w:val="16"/>
      <w:szCs w:val="16"/>
    </w:rPr>
  </w:style>
  <w:style w:type="table" w:styleId="Tabelacomgrade">
    <w:name w:val="Table Grid"/>
    <w:basedOn w:val="Tabelanormal"/>
    <w:uiPriority w:val="59"/>
    <w:rsid w:val="00DE36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BD3B82"/>
    <w:rPr>
      <w:i/>
      <w:iCs/>
    </w:rPr>
  </w:style>
  <w:style w:type="character" w:styleId="Refdecomentrio">
    <w:name w:val="annotation reference"/>
    <w:basedOn w:val="Fontepargpadro"/>
    <w:uiPriority w:val="99"/>
    <w:semiHidden/>
    <w:unhideWhenUsed/>
    <w:rsid w:val="00654EA6"/>
    <w:rPr>
      <w:sz w:val="16"/>
      <w:szCs w:val="16"/>
    </w:rPr>
  </w:style>
  <w:style w:type="paragraph" w:styleId="Textodecomentrio">
    <w:name w:val="annotation text"/>
    <w:basedOn w:val="Normal"/>
    <w:link w:val="TextodecomentrioChar"/>
    <w:uiPriority w:val="99"/>
    <w:semiHidden/>
    <w:unhideWhenUsed/>
    <w:rsid w:val="00654EA6"/>
    <w:rPr>
      <w:sz w:val="20"/>
    </w:rPr>
  </w:style>
  <w:style w:type="character" w:customStyle="1" w:styleId="TextodecomentrioChar">
    <w:name w:val="Texto de comentário Char"/>
    <w:basedOn w:val="Fontepargpadro"/>
    <w:link w:val="Textodecomentrio"/>
    <w:uiPriority w:val="99"/>
    <w:semiHidden/>
    <w:rsid w:val="00654EA6"/>
    <w:rPr>
      <w:rFonts w:eastAsia="Times New Roman"/>
    </w:rPr>
  </w:style>
  <w:style w:type="paragraph" w:styleId="Assuntodocomentrio">
    <w:name w:val="annotation subject"/>
    <w:basedOn w:val="Textodecomentrio"/>
    <w:next w:val="Textodecomentrio"/>
    <w:link w:val="AssuntodocomentrioChar"/>
    <w:uiPriority w:val="99"/>
    <w:semiHidden/>
    <w:unhideWhenUsed/>
    <w:rsid w:val="00654EA6"/>
    <w:rPr>
      <w:b/>
      <w:bCs/>
    </w:rPr>
  </w:style>
  <w:style w:type="character" w:customStyle="1" w:styleId="AssuntodocomentrioChar">
    <w:name w:val="Assunto do comentário Char"/>
    <w:basedOn w:val="TextodecomentrioChar"/>
    <w:link w:val="Assuntodocomentrio"/>
    <w:uiPriority w:val="99"/>
    <w:semiHidden/>
    <w:rsid w:val="00654EA6"/>
    <w:rPr>
      <w:rFonts w:eastAsia="Times New Roman"/>
      <w:b/>
      <w:bCs/>
    </w:rPr>
  </w:style>
  <w:style w:type="paragraph" w:styleId="Reviso">
    <w:name w:val="Revision"/>
    <w:hidden/>
    <w:uiPriority w:val="99"/>
    <w:semiHidden/>
    <w:rsid w:val="007E6DC1"/>
    <w:rPr>
      <w:rFonts w:eastAsia="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unhideWhenUsed="0"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semiHidden/>
    <w:qFormat/>
    <w:rsid w:val="000E1BA5"/>
    <w:pPr>
      <w:keepNext/>
      <w:spacing w:before="120"/>
      <w:outlineLvl w:val="0"/>
    </w:pPr>
    <w:rPr>
      <w:rFonts w:eastAsia="Times New Roman"/>
      <w:sz w:val="24"/>
    </w:rPr>
  </w:style>
  <w:style w:type="paragraph" w:styleId="Ttulo1">
    <w:name w:val="heading 1"/>
    <w:basedOn w:val="Normal"/>
    <w:next w:val="Normal"/>
    <w:link w:val="Ttulo1Char"/>
    <w:uiPriority w:val="9"/>
    <w:semiHidden/>
    <w:qFormat/>
    <w:rsid w:val="00B33927"/>
    <w:pPr>
      <w:keepLines/>
      <w:numPr>
        <w:numId w:val="5"/>
      </w:numPr>
      <w:spacing w:before="480"/>
    </w:pPr>
    <w:rPr>
      <w:rFonts w:ascii="Cambria" w:hAnsi="Cambria"/>
      <w:b/>
      <w:bCs/>
      <w:color w:val="365F91"/>
      <w:sz w:val="28"/>
      <w:szCs w:val="28"/>
    </w:rPr>
  </w:style>
  <w:style w:type="paragraph" w:styleId="Ttulo2">
    <w:name w:val="heading 2"/>
    <w:basedOn w:val="Normal"/>
    <w:next w:val="Normal"/>
    <w:link w:val="Ttulo2Char"/>
    <w:uiPriority w:val="9"/>
    <w:semiHidden/>
    <w:qFormat/>
    <w:rsid w:val="00B33927"/>
    <w:pPr>
      <w:keepLines/>
      <w:numPr>
        <w:ilvl w:val="1"/>
        <w:numId w:val="5"/>
      </w:numPr>
      <w:spacing w:before="200"/>
      <w:outlineLvl w:val="1"/>
    </w:pPr>
    <w:rPr>
      <w:rFonts w:ascii="Cambria" w:hAnsi="Cambria"/>
      <w:b/>
      <w:bCs/>
      <w:color w:val="4F81BD"/>
      <w:sz w:val="26"/>
      <w:szCs w:val="26"/>
    </w:rPr>
  </w:style>
  <w:style w:type="paragraph" w:styleId="Ttulo3">
    <w:name w:val="heading 3"/>
    <w:basedOn w:val="Normal"/>
    <w:next w:val="Normal"/>
    <w:link w:val="Ttulo3Char"/>
    <w:uiPriority w:val="9"/>
    <w:unhideWhenUsed/>
    <w:rsid w:val="00B33927"/>
    <w:pPr>
      <w:keepLines/>
      <w:numPr>
        <w:ilvl w:val="2"/>
        <w:numId w:val="5"/>
      </w:numPr>
      <w:spacing w:before="200"/>
      <w:outlineLvl w:val="2"/>
    </w:pPr>
    <w:rPr>
      <w:rFonts w:ascii="Cambria" w:hAnsi="Cambria"/>
      <w:b/>
      <w:bCs/>
      <w:color w:val="4F81BD"/>
    </w:rPr>
  </w:style>
  <w:style w:type="paragraph" w:styleId="Ttulo4">
    <w:name w:val="heading 4"/>
    <w:basedOn w:val="Normal"/>
    <w:next w:val="Normal"/>
    <w:link w:val="Ttulo4Char"/>
    <w:uiPriority w:val="9"/>
    <w:unhideWhenUsed/>
    <w:rsid w:val="00B33927"/>
    <w:pPr>
      <w:keepLines/>
      <w:numPr>
        <w:ilvl w:val="3"/>
        <w:numId w:val="5"/>
      </w:numPr>
      <w:spacing w:before="200"/>
      <w:outlineLvl w:val="3"/>
    </w:pPr>
    <w:rPr>
      <w:rFonts w:ascii="Cambria" w:hAnsi="Cambria"/>
      <w:b/>
      <w:bCs/>
      <w:i/>
      <w:iCs/>
      <w:color w:val="4F81BD"/>
    </w:rPr>
  </w:style>
  <w:style w:type="paragraph" w:styleId="Ttulo5">
    <w:name w:val="heading 5"/>
    <w:basedOn w:val="Normal"/>
    <w:next w:val="Normal"/>
    <w:link w:val="Ttulo5Char"/>
    <w:uiPriority w:val="9"/>
    <w:semiHidden/>
    <w:unhideWhenUsed/>
    <w:qFormat/>
    <w:rsid w:val="00B33927"/>
    <w:pPr>
      <w:keepLines/>
      <w:numPr>
        <w:ilvl w:val="4"/>
        <w:numId w:val="5"/>
      </w:numPr>
      <w:spacing w:before="200"/>
      <w:outlineLvl w:val="4"/>
    </w:pPr>
    <w:rPr>
      <w:rFonts w:ascii="Cambria" w:hAnsi="Cambria"/>
      <w:color w:val="243F60"/>
    </w:rPr>
  </w:style>
  <w:style w:type="paragraph" w:styleId="Ttulo6">
    <w:name w:val="heading 6"/>
    <w:basedOn w:val="Normal"/>
    <w:next w:val="Normal"/>
    <w:link w:val="Ttulo6Char"/>
    <w:uiPriority w:val="9"/>
    <w:semiHidden/>
    <w:unhideWhenUsed/>
    <w:qFormat/>
    <w:rsid w:val="00B33927"/>
    <w:pPr>
      <w:keepLines/>
      <w:numPr>
        <w:ilvl w:val="5"/>
        <w:numId w:val="5"/>
      </w:numPr>
      <w:spacing w:before="200"/>
      <w:outlineLvl w:val="5"/>
    </w:pPr>
    <w:rPr>
      <w:rFonts w:ascii="Cambria" w:hAnsi="Cambria"/>
      <w:i/>
      <w:iCs/>
      <w:color w:val="243F60"/>
    </w:rPr>
  </w:style>
  <w:style w:type="paragraph" w:styleId="Ttulo7">
    <w:name w:val="heading 7"/>
    <w:basedOn w:val="Normal"/>
    <w:next w:val="Normal"/>
    <w:link w:val="Ttulo7Char"/>
    <w:uiPriority w:val="9"/>
    <w:semiHidden/>
    <w:unhideWhenUsed/>
    <w:qFormat/>
    <w:rsid w:val="00B33927"/>
    <w:pPr>
      <w:keepLines/>
      <w:numPr>
        <w:ilvl w:val="6"/>
        <w:numId w:val="5"/>
      </w:numPr>
      <w:spacing w:before="200"/>
      <w:outlineLvl w:val="6"/>
    </w:pPr>
    <w:rPr>
      <w:rFonts w:ascii="Cambria" w:hAnsi="Cambria"/>
      <w:i/>
      <w:iCs/>
      <w:color w:val="404040"/>
    </w:rPr>
  </w:style>
  <w:style w:type="paragraph" w:styleId="Ttulo8">
    <w:name w:val="heading 8"/>
    <w:basedOn w:val="Normal"/>
    <w:next w:val="Normal"/>
    <w:link w:val="Ttulo8Char"/>
    <w:uiPriority w:val="9"/>
    <w:semiHidden/>
    <w:unhideWhenUsed/>
    <w:qFormat/>
    <w:rsid w:val="00B33927"/>
    <w:pPr>
      <w:keepLines/>
      <w:numPr>
        <w:ilvl w:val="7"/>
        <w:numId w:val="5"/>
      </w:numPr>
      <w:spacing w:before="200"/>
      <w:outlineLvl w:val="7"/>
    </w:pPr>
    <w:rPr>
      <w:rFonts w:ascii="Cambria" w:hAnsi="Cambria"/>
      <w:color w:val="404040"/>
      <w:sz w:val="20"/>
    </w:rPr>
  </w:style>
  <w:style w:type="paragraph" w:styleId="Ttulo9">
    <w:name w:val="heading 9"/>
    <w:basedOn w:val="Normal"/>
    <w:next w:val="Normal"/>
    <w:link w:val="Ttulo9Char"/>
    <w:uiPriority w:val="9"/>
    <w:semiHidden/>
    <w:unhideWhenUsed/>
    <w:qFormat/>
    <w:rsid w:val="00B33927"/>
    <w:pPr>
      <w:keepLines/>
      <w:numPr>
        <w:ilvl w:val="8"/>
        <w:numId w:val="5"/>
      </w:numPr>
      <w:spacing w:before="200"/>
      <w:outlineLvl w:val="8"/>
    </w:pPr>
    <w:rPr>
      <w:rFonts w:ascii="Cambria" w:hAnsi="Cambria"/>
      <w:i/>
      <w:iCs/>
      <w:color w:val="40404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semiHidden/>
    <w:qFormat/>
    <w:rsid w:val="00B23FBD"/>
    <w:pPr>
      <w:jc w:val="both"/>
    </w:pPr>
  </w:style>
  <w:style w:type="numbering" w:customStyle="1" w:styleId="Estilo1">
    <w:name w:val="Estilo1"/>
    <w:uiPriority w:val="99"/>
    <w:rsid w:val="00B33927"/>
    <w:pPr>
      <w:numPr>
        <w:numId w:val="1"/>
      </w:numPr>
    </w:pPr>
  </w:style>
  <w:style w:type="paragraph" w:styleId="Rodap">
    <w:name w:val="footer"/>
    <w:basedOn w:val="Normal"/>
    <w:link w:val="RodapChar"/>
    <w:uiPriority w:val="99"/>
    <w:semiHidden/>
    <w:unhideWhenUsed/>
    <w:rsid w:val="00B33927"/>
    <w:pPr>
      <w:tabs>
        <w:tab w:val="center" w:pos="4252"/>
        <w:tab w:val="right" w:pos="8504"/>
      </w:tabs>
    </w:pPr>
  </w:style>
  <w:style w:type="character" w:customStyle="1" w:styleId="RodapChar">
    <w:name w:val="Rodapé Char"/>
    <w:basedOn w:val="Fontepargpadro"/>
    <w:link w:val="Rodap"/>
    <w:uiPriority w:val="99"/>
    <w:semiHidden/>
    <w:rsid w:val="00B33927"/>
    <w:rPr>
      <w:rFonts w:eastAsia="Times New Roman"/>
      <w:szCs w:val="20"/>
      <w:lang w:eastAsia="pt-BR"/>
    </w:rPr>
  </w:style>
  <w:style w:type="character" w:customStyle="1" w:styleId="Ttulo1Char">
    <w:name w:val="Título 1 Char"/>
    <w:basedOn w:val="Fontepargpadro"/>
    <w:link w:val="Ttulo1"/>
    <w:uiPriority w:val="9"/>
    <w:semiHidden/>
    <w:rsid w:val="00B33927"/>
    <w:rPr>
      <w:rFonts w:ascii="Cambria" w:eastAsia="Times New Roman" w:hAnsi="Cambria"/>
      <w:b/>
      <w:bCs/>
      <w:color w:val="365F91"/>
      <w:sz w:val="28"/>
      <w:szCs w:val="28"/>
    </w:rPr>
  </w:style>
  <w:style w:type="paragraph" w:styleId="NormalWeb">
    <w:name w:val="Normal (Web)"/>
    <w:basedOn w:val="Normal"/>
    <w:uiPriority w:val="99"/>
    <w:semiHidden/>
    <w:rsid w:val="00B33927"/>
    <w:pPr>
      <w:spacing w:before="100" w:after="100"/>
    </w:pPr>
  </w:style>
  <w:style w:type="paragraph" w:customStyle="1" w:styleId="Prembulo">
    <w:name w:val="Preâmbulo"/>
    <w:basedOn w:val="Normal"/>
    <w:qFormat/>
    <w:rsid w:val="005C6BAB"/>
    <w:pPr>
      <w:widowControl w:val="0"/>
      <w:spacing w:before="60"/>
      <w:ind w:left="5103"/>
      <w:jc w:val="both"/>
    </w:pPr>
    <w:rPr>
      <w:b/>
      <w:snapToGrid w:val="0"/>
    </w:rPr>
  </w:style>
  <w:style w:type="numbering" w:customStyle="1" w:styleId="Estilo2">
    <w:name w:val="Estilo2"/>
    <w:uiPriority w:val="99"/>
    <w:rsid w:val="00B33927"/>
    <w:pPr>
      <w:numPr>
        <w:numId w:val="2"/>
      </w:numPr>
    </w:pPr>
  </w:style>
  <w:style w:type="numbering" w:customStyle="1" w:styleId="TCU">
    <w:name w:val="TCU"/>
    <w:uiPriority w:val="99"/>
    <w:rsid w:val="0001458F"/>
    <w:pPr>
      <w:numPr>
        <w:numId w:val="3"/>
      </w:numPr>
    </w:pPr>
  </w:style>
  <w:style w:type="paragraph" w:styleId="Recuodecorpodetexto">
    <w:name w:val="Body Text Indent"/>
    <w:basedOn w:val="Normal"/>
    <w:link w:val="RecuodecorpodetextoChar"/>
    <w:uiPriority w:val="99"/>
    <w:semiHidden/>
    <w:unhideWhenUsed/>
    <w:rsid w:val="00B33927"/>
    <w:pPr>
      <w:spacing w:after="120"/>
      <w:ind w:left="283"/>
    </w:pPr>
  </w:style>
  <w:style w:type="character" w:customStyle="1" w:styleId="RecuodecorpodetextoChar">
    <w:name w:val="Recuo de corpo de texto Char"/>
    <w:basedOn w:val="Fontepargpadro"/>
    <w:link w:val="Recuodecorpodetexto"/>
    <w:uiPriority w:val="99"/>
    <w:semiHidden/>
    <w:rsid w:val="00B33927"/>
    <w:rPr>
      <w:rFonts w:eastAsia="Times New Roman"/>
      <w:szCs w:val="20"/>
      <w:lang w:eastAsia="pt-BR"/>
    </w:rPr>
  </w:style>
  <w:style w:type="numbering" w:customStyle="1" w:styleId="1nvel">
    <w:name w:val="1º nível"/>
    <w:uiPriority w:val="99"/>
    <w:rsid w:val="00B33927"/>
    <w:pPr>
      <w:numPr>
        <w:numId w:val="4"/>
      </w:numPr>
    </w:pPr>
  </w:style>
  <w:style w:type="character" w:customStyle="1" w:styleId="Ttulo2Char">
    <w:name w:val="Título 2 Char"/>
    <w:basedOn w:val="Fontepargpadro"/>
    <w:link w:val="Ttulo2"/>
    <w:uiPriority w:val="9"/>
    <w:semiHidden/>
    <w:rsid w:val="00B33927"/>
    <w:rPr>
      <w:rFonts w:ascii="Cambria" w:eastAsia="Times New Roman" w:hAnsi="Cambria"/>
      <w:b/>
      <w:bCs/>
      <w:color w:val="4F81BD"/>
      <w:sz w:val="26"/>
      <w:szCs w:val="26"/>
    </w:rPr>
  </w:style>
  <w:style w:type="character" w:customStyle="1" w:styleId="Ttulo3Char">
    <w:name w:val="Título 3 Char"/>
    <w:basedOn w:val="Fontepargpadro"/>
    <w:link w:val="Ttulo3"/>
    <w:uiPriority w:val="9"/>
    <w:rsid w:val="00B33927"/>
    <w:rPr>
      <w:rFonts w:ascii="Cambria" w:eastAsia="Times New Roman" w:hAnsi="Cambria"/>
      <w:b/>
      <w:bCs/>
      <w:color w:val="4F81BD"/>
      <w:sz w:val="24"/>
    </w:rPr>
  </w:style>
  <w:style w:type="character" w:customStyle="1" w:styleId="Ttulo4Char">
    <w:name w:val="Título 4 Char"/>
    <w:basedOn w:val="Fontepargpadro"/>
    <w:link w:val="Ttulo4"/>
    <w:uiPriority w:val="9"/>
    <w:rsid w:val="00B33927"/>
    <w:rPr>
      <w:rFonts w:ascii="Cambria" w:eastAsia="Times New Roman" w:hAnsi="Cambria"/>
      <w:b/>
      <w:bCs/>
      <w:i/>
      <w:iCs/>
      <w:color w:val="4F81BD"/>
      <w:sz w:val="24"/>
    </w:rPr>
  </w:style>
  <w:style w:type="character" w:customStyle="1" w:styleId="Ttulo5Char">
    <w:name w:val="Título 5 Char"/>
    <w:basedOn w:val="Fontepargpadro"/>
    <w:link w:val="Ttulo5"/>
    <w:uiPriority w:val="9"/>
    <w:semiHidden/>
    <w:rsid w:val="00B33927"/>
    <w:rPr>
      <w:rFonts w:ascii="Cambria" w:eastAsia="Times New Roman" w:hAnsi="Cambria"/>
      <w:color w:val="243F60"/>
      <w:sz w:val="24"/>
    </w:rPr>
  </w:style>
  <w:style w:type="character" w:customStyle="1" w:styleId="Ttulo6Char">
    <w:name w:val="Título 6 Char"/>
    <w:basedOn w:val="Fontepargpadro"/>
    <w:link w:val="Ttulo6"/>
    <w:uiPriority w:val="9"/>
    <w:semiHidden/>
    <w:rsid w:val="00B33927"/>
    <w:rPr>
      <w:rFonts w:ascii="Cambria" w:eastAsia="Times New Roman" w:hAnsi="Cambria"/>
      <w:i/>
      <w:iCs/>
      <w:color w:val="243F60"/>
      <w:sz w:val="24"/>
    </w:rPr>
  </w:style>
  <w:style w:type="character" w:customStyle="1" w:styleId="Ttulo7Char">
    <w:name w:val="Título 7 Char"/>
    <w:basedOn w:val="Fontepargpadro"/>
    <w:link w:val="Ttulo7"/>
    <w:uiPriority w:val="9"/>
    <w:semiHidden/>
    <w:rsid w:val="00B33927"/>
    <w:rPr>
      <w:rFonts w:ascii="Cambria" w:eastAsia="Times New Roman" w:hAnsi="Cambria"/>
      <w:i/>
      <w:iCs/>
      <w:color w:val="404040"/>
      <w:sz w:val="24"/>
    </w:rPr>
  </w:style>
  <w:style w:type="character" w:customStyle="1" w:styleId="Ttulo8Char">
    <w:name w:val="Título 8 Char"/>
    <w:basedOn w:val="Fontepargpadro"/>
    <w:link w:val="Ttulo8"/>
    <w:uiPriority w:val="9"/>
    <w:semiHidden/>
    <w:rsid w:val="00B33927"/>
    <w:rPr>
      <w:rFonts w:ascii="Cambria" w:eastAsia="Times New Roman" w:hAnsi="Cambria"/>
      <w:color w:val="404040"/>
    </w:rPr>
  </w:style>
  <w:style w:type="character" w:customStyle="1" w:styleId="Ttulo9Char">
    <w:name w:val="Título 9 Char"/>
    <w:basedOn w:val="Fontepargpadro"/>
    <w:link w:val="Ttulo9"/>
    <w:uiPriority w:val="9"/>
    <w:semiHidden/>
    <w:rsid w:val="00B33927"/>
    <w:rPr>
      <w:rFonts w:ascii="Cambria" w:eastAsia="Times New Roman" w:hAnsi="Cambria"/>
      <w:i/>
      <w:iCs/>
      <w:color w:val="404040"/>
    </w:rPr>
  </w:style>
  <w:style w:type="paragraph" w:customStyle="1" w:styleId="Transcrio">
    <w:name w:val="Transcrição"/>
    <w:basedOn w:val="Normal"/>
    <w:qFormat/>
    <w:rsid w:val="00F105A2"/>
    <w:pPr>
      <w:tabs>
        <w:tab w:val="left" w:pos="1134"/>
      </w:tabs>
      <w:ind w:left="1134"/>
      <w:jc w:val="both"/>
    </w:pPr>
    <w:rPr>
      <w:sz w:val="22"/>
      <w:szCs w:val="22"/>
    </w:rPr>
  </w:style>
  <w:style w:type="character" w:customStyle="1" w:styleId="Termoestrangeiro">
    <w:name w:val="Termo estrangeiro"/>
    <w:basedOn w:val="Fontepargpadro"/>
    <w:uiPriority w:val="1"/>
    <w:qFormat/>
    <w:rsid w:val="00B33927"/>
    <w:rPr>
      <w:rFonts w:ascii="Times New Roman" w:hAnsi="Times New Roman"/>
      <w:i/>
      <w:color w:val="auto"/>
      <w:sz w:val="24"/>
    </w:rPr>
  </w:style>
  <w:style w:type="character" w:customStyle="1" w:styleId="Textonormal">
    <w:name w:val="Texto normal"/>
    <w:basedOn w:val="Termoestrangeiro"/>
    <w:uiPriority w:val="1"/>
    <w:qFormat/>
    <w:rsid w:val="00B33927"/>
    <w:rPr>
      <w:rFonts w:ascii="Times New Roman" w:hAnsi="Times New Roman"/>
      <w:i w:val="0"/>
      <w:color w:val="auto"/>
      <w:sz w:val="24"/>
    </w:rPr>
  </w:style>
  <w:style w:type="paragraph" w:styleId="Cabealho">
    <w:name w:val="header"/>
    <w:basedOn w:val="Normal"/>
    <w:link w:val="CabealhoChar"/>
    <w:uiPriority w:val="99"/>
    <w:semiHidden/>
    <w:unhideWhenUsed/>
    <w:rsid w:val="00B33927"/>
    <w:pPr>
      <w:tabs>
        <w:tab w:val="center" w:pos="4252"/>
        <w:tab w:val="right" w:pos="8504"/>
      </w:tabs>
      <w:spacing w:before="0"/>
    </w:pPr>
  </w:style>
  <w:style w:type="character" w:customStyle="1" w:styleId="CabealhoChar">
    <w:name w:val="Cabeçalho Char"/>
    <w:basedOn w:val="Fontepargpadro"/>
    <w:link w:val="Cabealho"/>
    <w:uiPriority w:val="99"/>
    <w:semiHidden/>
    <w:rsid w:val="00B33927"/>
    <w:rPr>
      <w:rFonts w:eastAsia="Times New Roman"/>
      <w:szCs w:val="20"/>
      <w:lang w:eastAsia="pt-BR"/>
    </w:rPr>
  </w:style>
  <w:style w:type="paragraph" w:customStyle="1" w:styleId="Ttulononumerado-1nvel">
    <w:name w:val="Título não numerado - 1º nível"/>
    <w:basedOn w:val="Normal"/>
    <w:qFormat/>
    <w:rsid w:val="0065265C"/>
    <w:pPr>
      <w:jc w:val="both"/>
    </w:pPr>
    <w:rPr>
      <w:b/>
      <w:caps/>
    </w:rPr>
  </w:style>
  <w:style w:type="paragraph" w:customStyle="1" w:styleId="Ttulononumerado-demaisnveis">
    <w:name w:val="Título não numerado - demais níveis"/>
    <w:basedOn w:val="Normal"/>
    <w:qFormat/>
    <w:rsid w:val="00176DD5"/>
    <w:rPr>
      <w:u w:val="single"/>
    </w:rPr>
  </w:style>
  <w:style w:type="paragraph" w:customStyle="1" w:styleId="Pargrafo-1nvel">
    <w:name w:val="Parágrafo - 1º nível"/>
    <w:basedOn w:val="PargrafodaLista"/>
    <w:qFormat/>
    <w:rsid w:val="00080B86"/>
    <w:pPr>
      <w:keepNext w:val="0"/>
      <w:numPr>
        <w:numId w:val="6"/>
      </w:numPr>
      <w:tabs>
        <w:tab w:val="left" w:pos="1134"/>
      </w:tabs>
    </w:pPr>
  </w:style>
  <w:style w:type="paragraph" w:customStyle="1" w:styleId="Ttulonumerado-1nvel">
    <w:name w:val="Título numerado - 1º nível"/>
    <w:basedOn w:val="PargrafodaLista"/>
    <w:qFormat/>
    <w:rsid w:val="00965A97"/>
    <w:pPr>
      <w:numPr>
        <w:numId w:val="7"/>
      </w:numPr>
      <w:tabs>
        <w:tab w:val="left" w:pos="1134"/>
      </w:tabs>
      <w:ind w:left="0" w:firstLine="0"/>
    </w:pPr>
    <w:rPr>
      <w:b/>
    </w:rPr>
  </w:style>
  <w:style w:type="paragraph" w:customStyle="1" w:styleId="Ttulonumerado-2nvel">
    <w:name w:val="Título numerado - 2º nível"/>
    <w:basedOn w:val="PargrafodaLista"/>
    <w:qFormat/>
    <w:rsid w:val="00B23FBD"/>
    <w:pPr>
      <w:numPr>
        <w:ilvl w:val="1"/>
        <w:numId w:val="7"/>
      </w:numPr>
      <w:tabs>
        <w:tab w:val="left" w:pos="1134"/>
      </w:tabs>
      <w:ind w:left="0" w:firstLine="0"/>
    </w:pPr>
    <w:rPr>
      <w:u w:val="single"/>
    </w:rPr>
  </w:style>
  <w:style w:type="paragraph" w:customStyle="1" w:styleId="Ttulonumerado-3nvel">
    <w:name w:val="Título numerado - 3º nível"/>
    <w:basedOn w:val="PargrafodaLista"/>
    <w:qFormat/>
    <w:rsid w:val="00B23FBD"/>
    <w:pPr>
      <w:numPr>
        <w:ilvl w:val="2"/>
        <w:numId w:val="7"/>
      </w:numPr>
      <w:tabs>
        <w:tab w:val="left" w:pos="1134"/>
      </w:tabs>
      <w:ind w:left="0" w:firstLine="0"/>
    </w:pPr>
    <w:rPr>
      <w:u w:val="single"/>
    </w:rPr>
  </w:style>
  <w:style w:type="paragraph" w:customStyle="1" w:styleId="Ttulonumerado-4nvel">
    <w:name w:val="Título numerado - 4º nível"/>
    <w:basedOn w:val="PargrafodaLista"/>
    <w:qFormat/>
    <w:rsid w:val="00B23FBD"/>
    <w:pPr>
      <w:numPr>
        <w:ilvl w:val="3"/>
        <w:numId w:val="7"/>
      </w:numPr>
      <w:tabs>
        <w:tab w:val="left" w:pos="1134"/>
      </w:tabs>
      <w:ind w:left="0" w:firstLine="0"/>
    </w:pPr>
    <w:rPr>
      <w:u w:val="single"/>
    </w:rPr>
  </w:style>
  <w:style w:type="paragraph" w:customStyle="1" w:styleId="Fecho">
    <w:name w:val="Fecho"/>
    <w:basedOn w:val="Normal"/>
    <w:qFormat/>
    <w:rsid w:val="00981BA5"/>
    <w:pPr>
      <w:spacing w:before="0"/>
      <w:ind w:left="5103"/>
      <w:jc w:val="center"/>
    </w:pPr>
  </w:style>
  <w:style w:type="paragraph" w:customStyle="1" w:styleId="Pargrafo-2nvel">
    <w:name w:val="Parágrafo - 2º nível"/>
    <w:basedOn w:val="Normal"/>
    <w:qFormat/>
    <w:rsid w:val="00080B86"/>
    <w:pPr>
      <w:keepNext w:val="0"/>
      <w:numPr>
        <w:ilvl w:val="1"/>
        <w:numId w:val="6"/>
      </w:numPr>
      <w:tabs>
        <w:tab w:val="left" w:pos="1134"/>
      </w:tabs>
      <w:jc w:val="both"/>
    </w:pPr>
  </w:style>
  <w:style w:type="paragraph" w:customStyle="1" w:styleId="Pargrafo-3nvel">
    <w:name w:val="Parágrafo - 3º nível"/>
    <w:basedOn w:val="Normal"/>
    <w:qFormat/>
    <w:rsid w:val="00080B86"/>
    <w:pPr>
      <w:keepNext w:val="0"/>
      <w:numPr>
        <w:ilvl w:val="2"/>
        <w:numId w:val="6"/>
      </w:numPr>
      <w:tabs>
        <w:tab w:val="left" w:pos="1134"/>
      </w:tabs>
      <w:ind w:left="0"/>
      <w:jc w:val="both"/>
    </w:pPr>
  </w:style>
  <w:style w:type="character" w:styleId="Hyperlink">
    <w:name w:val="Hyperlink"/>
    <w:basedOn w:val="Fontepargpadro"/>
    <w:uiPriority w:val="99"/>
    <w:unhideWhenUsed/>
    <w:rsid w:val="00696804"/>
    <w:rPr>
      <w:color w:val="0000FF"/>
      <w:u w:val="single"/>
    </w:rPr>
  </w:style>
  <w:style w:type="paragraph" w:customStyle="1" w:styleId="ListadeInformaes">
    <w:name w:val="Lista de Informações"/>
    <w:qFormat/>
    <w:rsid w:val="001F30C5"/>
    <w:pPr>
      <w:widowControl w:val="0"/>
      <w:numPr>
        <w:numId w:val="8"/>
      </w:numPr>
      <w:suppressAutoHyphens/>
      <w:spacing w:before="60"/>
      <w:jc w:val="both"/>
    </w:pPr>
    <w:rPr>
      <w:rFonts w:eastAsia="Times New Roman"/>
      <w:sz w:val="24"/>
    </w:rPr>
  </w:style>
  <w:style w:type="paragraph" w:customStyle="1" w:styleId="Default">
    <w:name w:val="Default"/>
    <w:rsid w:val="007C5031"/>
    <w:pPr>
      <w:autoSpaceDE w:val="0"/>
      <w:autoSpaceDN w:val="0"/>
      <w:adjustRightInd w:val="0"/>
    </w:pPr>
    <w:rPr>
      <w:color w:val="000000"/>
      <w:sz w:val="24"/>
      <w:szCs w:val="24"/>
    </w:rPr>
  </w:style>
  <w:style w:type="paragraph" w:styleId="Textodebalo">
    <w:name w:val="Balloon Text"/>
    <w:basedOn w:val="Normal"/>
    <w:link w:val="TextodebaloChar"/>
    <w:uiPriority w:val="99"/>
    <w:semiHidden/>
    <w:unhideWhenUsed/>
    <w:rsid w:val="00CE163E"/>
    <w:pPr>
      <w:spacing w:before="0"/>
    </w:pPr>
    <w:rPr>
      <w:rFonts w:ascii="Tahoma" w:hAnsi="Tahoma" w:cs="Tahoma"/>
      <w:sz w:val="16"/>
      <w:szCs w:val="16"/>
    </w:rPr>
  </w:style>
  <w:style w:type="character" w:customStyle="1" w:styleId="TextodebaloChar">
    <w:name w:val="Texto de balão Char"/>
    <w:basedOn w:val="Fontepargpadro"/>
    <w:link w:val="Textodebalo"/>
    <w:uiPriority w:val="99"/>
    <w:semiHidden/>
    <w:rsid w:val="00CE163E"/>
    <w:rPr>
      <w:rFonts w:ascii="Tahoma" w:eastAsia="Times New Roman" w:hAnsi="Tahoma" w:cs="Tahoma"/>
      <w:sz w:val="16"/>
      <w:szCs w:val="16"/>
    </w:rPr>
  </w:style>
  <w:style w:type="table" w:styleId="Tabelacomgrade">
    <w:name w:val="Table Grid"/>
    <w:basedOn w:val="Tabelanormal"/>
    <w:uiPriority w:val="59"/>
    <w:rsid w:val="00DE36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BD3B82"/>
    <w:rPr>
      <w:i/>
      <w:iCs/>
    </w:rPr>
  </w:style>
  <w:style w:type="character" w:styleId="Refdecomentrio">
    <w:name w:val="annotation reference"/>
    <w:basedOn w:val="Fontepargpadro"/>
    <w:uiPriority w:val="99"/>
    <w:semiHidden/>
    <w:unhideWhenUsed/>
    <w:rsid w:val="00654EA6"/>
    <w:rPr>
      <w:sz w:val="16"/>
      <w:szCs w:val="16"/>
    </w:rPr>
  </w:style>
  <w:style w:type="paragraph" w:styleId="Textodecomentrio">
    <w:name w:val="annotation text"/>
    <w:basedOn w:val="Normal"/>
    <w:link w:val="TextodecomentrioChar"/>
    <w:uiPriority w:val="99"/>
    <w:semiHidden/>
    <w:unhideWhenUsed/>
    <w:rsid w:val="00654EA6"/>
    <w:rPr>
      <w:sz w:val="20"/>
    </w:rPr>
  </w:style>
  <w:style w:type="character" w:customStyle="1" w:styleId="TextodecomentrioChar">
    <w:name w:val="Texto de comentário Char"/>
    <w:basedOn w:val="Fontepargpadro"/>
    <w:link w:val="Textodecomentrio"/>
    <w:uiPriority w:val="99"/>
    <w:semiHidden/>
    <w:rsid w:val="00654EA6"/>
    <w:rPr>
      <w:rFonts w:eastAsia="Times New Roman"/>
    </w:rPr>
  </w:style>
  <w:style w:type="paragraph" w:styleId="Assuntodocomentrio">
    <w:name w:val="annotation subject"/>
    <w:basedOn w:val="Textodecomentrio"/>
    <w:next w:val="Textodecomentrio"/>
    <w:link w:val="AssuntodocomentrioChar"/>
    <w:uiPriority w:val="99"/>
    <w:semiHidden/>
    <w:unhideWhenUsed/>
    <w:rsid w:val="00654EA6"/>
    <w:rPr>
      <w:b/>
      <w:bCs/>
    </w:rPr>
  </w:style>
  <w:style w:type="character" w:customStyle="1" w:styleId="AssuntodocomentrioChar">
    <w:name w:val="Assunto do comentário Char"/>
    <w:basedOn w:val="TextodecomentrioChar"/>
    <w:link w:val="Assuntodocomentrio"/>
    <w:uiPriority w:val="99"/>
    <w:semiHidden/>
    <w:rsid w:val="00654EA6"/>
    <w:rPr>
      <w:rFonts w:eastAsia="Times New Roman"/>
      <w:b/>
      <w:bCs/>
    </w:rPr>
  </w:style>
  <w:style w:type="paragraph" w:styleId="Reviso">
    <w:name w:val="Revision"/>
    <w:hidden/>
    <w:uiPriority w:val="99"/>
    <w:semiHidden/>
    <w:rsid w:val="007E6DC1"/>
    <w:rPr>
      <w:rFonts w:eastAsia="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114546">
      <w:bodyDiv w:val="1"/>
      <w:marLeft w:val="0"/>
      <w:marRight w:val="0"/>
      <w:marTop w:val="0"/>
      <w:marBottom w:val="0"/>
      <w:divBdr>
        <w:top w:val="none" w:sz="0" w:space="0" w:color="auto"/>
        <w:left w:val="none" w:sz="0" w:space="0" w:color="auto"/>
        <w:bottom w:val="none" w:sz="0" w:space="0" w:color="auto"/>
        <w:right w:val="none" w:sz="0" w:space="0" w:color="auto"/>
      </w:divBdr>
      <w:divsChild>
        <w:div w:id="2074498855">
          <w:marLeft w:val="0"/>
          <w:marRight w:val="0"/>
          <w:marTop w:val="0"/>
          <w:marBottom w:val="0"/>
          <w:divBdr>
            <w:top w:val="none" w:sz="0" w:space="0" w:color="auto"/>
            <w:left w:val="none" w:sz="0" w:space="0" w:color="auto"/>
            <w:bottom w:val="none" w:sz="0" w:space="0" w:color="auto"/>
            <w:right w:val="none" w:sz="0" w:space="0" w:color="auto"/>
          </w:divBdr>
        </w:div>
      </w:divsChild>
    </w:div>
    <w:div w:id="670062402">
      <w:bodyDiv w:val="1"/>
      <w:marLeft w:val="0"/>
      <w:marRight w:val="0"/>
      <w:marTop w:val="0"/>
      <w:marBottom w:val="0"/>
      <w:divBdr>
        <w:top w:val="none" w:sz="0" w:space="0" w:color="auto"/>
        <w:left w:val="none" w:sz="0" w:space="0" w:color="auto"/>
        <w:bottom w:val="none" w:sz="0" w:space="0" w:color="auto"/>
        <w:right w:val="none" w:sz="0" w:space="0" w:color="auto"/>
      </w:divBdr>
      <w:divsChild>
        <w:div w:id="1263298428">
          <w:marLeft w:val="0"/>
          <w:marRight w:val="0"/>
          <w:marTop w:val="0"/>
          <w:marBottom w:val="0"/>
          <w:divBdr>
            <w:top w:val="none" w:sz="0" w:space="0" w:color="auto"/>
            <w:left w:val="none" w:sz="0" w:space="0" w:color="auto"/>
            <w:bottom w:val="none" w:sz="0" w:space="0" w:color="auto"/>
            <w:right w:val="none" w:sz="0" w:space="0" w:color="auto"/>
          </w:divBdr>
        </w:div>
      </w:divsChild>
    </w:div>
    <w:div w:id="940838305">
      <w:bodyDiv w:val="1"/>
      <w:marLeft w:val="0"/>
      <w:marRight w:val="0"/>
      <w:marTop w:val="0"/>
      <w:marBottom w:val="0"/>
      <w:divBdr>
        <w:top w:val="none" w:sz="0" w:space="0" w:color="auto"/>
        <w:left w:val="none" w:sz="0" w:space="0" w:color="auto"/>
        <w:bottom w:val="none" w:sz="0" w:space="0" w:color="auto"/>
        <w:right w:val="none" w:sz="0" w:space="0" w:color="auto"/>
      </w:divBdr>
      <w:divsChild>
        <w:div w:id="5388543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33650-47E6-4F3D-A802-548C46776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6812</Words>
  <Characters>36786</Characters>
  <Application>Microsoft Office Word</Application>
  <DocSecurity>0</DocSecurity>
  <Lines>306</Lines>
  <Paragraphs>87</Paragraphs>
  <ScaleCrop>false</ScaleCrop>
  <HeadingPairs>
    <vt:vector size="2" baseType="variant">
      <vt:variant>
        <vt:lpstr>Título</vt:lpstr>
      </vt:variant>
      <vt:variant>
        <vt:i4>1</vt:i4>
      </vt:variant>
    </vt:vector>
  </HeadingPairs>
  <TitlesOfParts>
    <vt:vector size="1" baseType="lpstr">
      <vt:lpstr/>
    </vt:vector>
  </TitlesOfParts>
  <Company>TCU</Company>
  <LinksUpToDate>false</LinksUpToDate>
  <CharactersWithSpaces>43511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liviasv</dc:creator>
  <cp:lastModifiedBy>Raissa</cp:lastModifiedBy>
  <cp:revision>2</cp:revision>
  <dcterms:created xsi:type="dcterms:W3CDTF">2012-10-15T02:18:00Z</dcterms:created>
  <dcterms:modified xsi:type="dcterms:W3CDTF">2012-10-15T02:18:00Z</dcterms:modified>
</cp:coreProperties>
</file>