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9E" w:rsidRPr="00A737CF" w:rsidRDefault="00C3499E" w:rsidP="00F91713">
      <w:pPr>
        <w:pStyle w:val="Ttulo3"/>
        <w:spacing w:after="120"/>
        <w:ind w:left="3969" w:firstLine="0"/>
        <w:jc w:val="both"/>
        <w:rPr>
          <w:b/>
          <w:szCs w:val="24"/>
        </w:rPr>
      </w:pPr>
      <w:r w:rsidRPr="00A737CF">
        <w:rPr>
          <w:b/>
          <w:szCs w:val="24"/>
        </w:rPr>
        <w:t>TC 0</w:t>
      </w:r>
      <w:r w:rsidR="00AD6AFF">
        <w:rPr>
          <w:b/>
          <w:szCs w:val="24"/>
        </w:rPr>
        <w:t>08</w:t>
      </w:r>
      <w:r w:rsidRPr="00A737CF">
        <w:rPr>
          <w:b/>
          <w:szCs w:val="24"/>
        </w:rPr>
        <w:t>.</w:t>
      </w:r>
      <w:r w:rsidR="00AD6AFF">
        <w:rPr>
          <w:b/>
          <w:szCs w:val="24"/>
        </w:rPr>
        <w:t>817</w:t>
      </w:r>
      <w:r w:rsidRPr="00A737CF">
        <w:rPr>
          <w:b/>
          <w:szCs w:val="24"/>
        </w:rPr>
        <w:t>/20</w:t>
      </w:r>
      <w:r w:rsidR="004D495F">
        <w:rPr>
          <w:b/>
          <w:szCs w:val="24"/>
        </w:rPr>
        <w:t>11</w:t>
      </w:r>
      <w:r w:rsidRPr="00A737CF">
        <w:rPr>
          <w:b/>
          <w:szCs w:val="24"/>
        </w:rPr>
        <w:t>-</w:t>
      </w:r>
      <w:r w:rsidR="00AD6AFF">
        <w:rPr>
          <w:b/>
          <w:szCs w:val="24"/>
        </w:rPr>
        <w:t>1</w:t>
      </w:r>
      <w:r w:rsidR="00647FD7" w:rsidRPr="00A737CF">
        <w:rPr>
          <w:b/>
          <w:szCs w:val="24"/>
        </w:rPr>
        <w:t xml:space="preserve"> </w:t>
      </w:r>
    </w:p>
    <w:p w:rsidR="00C3499E" w:rsidRPr="00A737CF" w:rsidRDefault="00C3499E" w:rsidP="00F91713">
      <w:pPr>
        <w:pStyle w:val="Ttulo3"/>
        <w:spacing w:after="120"/>
        <w:ind w:left="3969" w:firstLine="0"/>
        <w:jc w:val="both"/>
        <w:rPr>
          <w:szCs w:val="24"/>
        </w:rPr>
      </w:pPr>
      <w:r w:rsidRPr="00A737CF">
        <w:rPr>
          <w:b/>
          <w:szCs w:val="24"/>
        </w:rPr>
        <w:t>Natureza:</w:t>
      </w:r>
      <w:r w:rsidRPr="00A737CF">
        <w:rPr>
          <w:szCs w:val="24"/>
        </w:rPr>
        <w:t xml:space="preserve"> </w:t>
      </w:r>
      <w:r w:rsidR="00C57BFE">
        <w:rPr>
          <w:szCs w:val="24"/>
        </w:rPr>
        <w:t>Recurso de Reconsideração</w:t>
      </w:r>
      <w:r w:rsidR="00004982" w:rsidRPr="00A737CF">
        <w:rPr>
          <w:szCs w:val="24"/>
        </w:rPr>
        <w:t>.</w:t>
      </w:r>
    </w:p>
    <w:p w:rsidR="00C57BFE" w:rsidRPr="008B455E" w:rsidRDefault="007C305B" w:rsidP="00F91713">
      <w:pPr>
        <w:spacing w:after="120"/>
        <w:ind w:left="3969"/>
        <w:rPr>
          <w:szCs w:val="24"/>
        </w:rPr>
      </w:pPr>
      <w:r>
        <w:rPr>
          <w:b/>
          <w:szCs w:val="24"/>
        </w:rPr>
        <w:t>Órgão</w:t>
      </w:r>
      <w:r w:rsidR="00770E35">
        <w:rPr>
          <w:b/>
          <w:szCs w:val="24"/>
        </w:rPr>
        <w:t>s</w:t>
      </w:r>
      <w:r w:rsidR="00C3499E" w:rsidRPr="00A737CF">
        <w:rPr>
          <w:b/>
          <w:szCs w:val="24"/>
        </w:rPr>
        <w:t>:</w:t>
      </w:r>
      <w:r w:rsidR="008B455E">
        <w:rPr>
          <w:b/>
          <w:szCs w:val="24"/>
        </w:rPr>
        <w:t xml:space="preserve"> </w:t>
      </w:r>
      <w:r>
        <w:rPr>
          <w:szCs w:val="24"/>
        </w:rPr>
        <w:t xml:space="preserve">Município de </w:t>
      </w:r>
      <w:r w:rsidR="00AD6AFF">
        <w:rPr>
          <w:szCs w:val="24"/>
        </w:rPr>
        <w:t>Rio da Conceição</w:t>
      </w:r>
      <w:r>
        <w:rPr>
          <w:szCs w:val="24"/>
        </w:rPr>
        <w:t>/</w:t>
      </w:r>
      <w:r w:rsidR="00AD6AFF">
        <w:rPr>
          <w:szCs w:val="24"/>
        </w:rPr>
        <w:t>TO</w:t>
      </w:r>
      <w:r>
        <w:rPr>
          <w:szCs w:val="24"/>
        </w:rPr>
        <w:t>.</w:t>
      </w:r>
    </w:p>
    <w:p w:rsidR="00302853" w:rsidRDefault="00C3499E" w:rsidP="00F91713">
      <w:pPr>
        <w:pStyle w:val="TCU-Epgrafe"/>
        <w:spacing w:after="120"/>
        <w:ind w:left="3969"/>
        <w:rPr>
          <w:rFonts w:ascii="Times New Roman" w:hAnsi="Times New Roman" w:cs="Times New Roman"/>
          <w:color w:val="000000"/>
        </w:rPr>
      </w:pPr>
      <w:r w:rsidRPr="00A737CF">
        <w:rPr>
          <w:rFonts w:ascii="Times New Roman" w:hAnsi="Times New Roman" w:cs="Times New Roman"/>
          <w:b/>
        </w:rPr>
        <w:t>Recorrente</w:t>
      </w:r>
      <w:r w:rsidRPr="00A737CF">
        <w:rPr>
          <w:rFonts w:ascii="Times New Roman" w:hAnsi="Times New Roman" w:cs="Times New Roman"/>
        </w:rPr>
        <w:t>:</w:t>
      </w:r>
      <w:bookmarkStart w:id="0" w:name="_Hlk189045655"/>
      <w:r w:rsidRPr="00A737CF">
        <w:rPr>
          <w:rFonts w:ascii="Times New Roman" w:hAnsi="Times New Roman" w:cs="Times New Roman"/>
        </w:rPr>
        <w:t> </w:t>
      </w:r>
      <w:r w:rsidR="004B65A1">
        <w:rPr>
          <w:rFonts w:ascii="Times New Roman" w:hAnsi="Times New Roman" w:cs="Times New Roman"/>
        </w:rPr>
        <w:t>Construtora Araújo Ribeiro Ltda.</w:t>
      </w:r>
      <w:r w:rsidR="00962E9C">
        <w:rPr>
          <w:rFonts w:ascii="Times New Roman" w:hAnsi="Times New Roman" w:cs="Times New Roman"/>
        </w:rPr>
        <w:t xml:space="preserve"> </w:t>
      </w:r>
      <w:r w:rsidR="005A4E33" w:rsidRPr="00A737CF">
        <w:rPr>
          <w:rFonts w:ascii="Times New Roman" w:hAnsi="Times New Roman" w:cs="Times New Roman"/>
          <w:color w:val="000000"/>
        </w:rPr>
        <w:t>(</w:t>
      </w:r>
      <w:r w:rsidR="008212A0" w:rsidRPr="00B02E81">
        <w:rPr>
          <w:rFonts w:ascii="Times New Roman" w:hAnsi="Times New Roman" w:cs="Times New Roman"/>
          <w:color w:val="000000"/>
        </w:rPr>
        <w:t>C</w:t>
      </w:r>
      <w:r w:rsidR="004B65A1">
        <w:rPr>
          <w:rFonts w:ascii="Times New Roman" w:hAnsi="Times New Roman" w:cs="Times New Roman"/>
          <w:color w:val="000000"/>
        </w:rPr>
        <w:t>NPJ</w:t>
      </w:r>
      <w:r w:rsidR="00DB7D97">
        <w:rPr>
          <w:rFonts w:ascii="Times New Roman" w:hAnsi="Times New Roman" w:cs="Times New Roman"/>
          <w:color w:val="000000"/>
        </w:rPr>
        <w:t xml:space="preserve"> 04.250.946/0001-67</w:t>
      </w:r>
      <w:r w:rsidR="00D7635D">
        <w:rPr>
          <w:rFonts w:ascii="Times New Roman" w:hAnsi="Times New Roman" w:cs="Times New Roman"/>
          <w:color w:val="000000"/>
        </w:rPr>
        <w:t>).</w:t>
      </w:r>
    </w:p>
    <w:bookmarkEnd w:id="0"/>
    <w:p w:rsidR="007C305B" w:rsidRDefault="00A51D4A" w:rsidP="00F91713">
      <w:pPr>
        <w:spacing w:after="120"/>
        <w:ind w:left="3969"/>
        <w:rPr>
          <w:szCs w:val="24"/>
        </w:rPr>
      </w:pPr>
      <w:r w:rsidRPr="00A737CF">
        <w:rPr>
          <w:b/>
          <w:szCs w:val="24"/>
        </w:rPr>
        <w:t xml:space="preserve">Advogado(s) constituído(s) nos autos: </w:t>
      </w:r>
      <w:r w:rsidR="004B65A1" w:rsidRPr="004B65A1">
        <w:rPr>
          <w:szCs w:val="24"/>
        </w:rPr>
        <w:t>Paulo</w:t>
      </w:r>
      <w:r w:rsidR="004B65A1">
        <w:rPr>
          <w:szCs w:val="24"/>
        </w:rPr>
        <w:t xml:space="preserve"> Roberto </w:t>
      </w:r>
      <w:proofErr w:type="spellStart"/>
      <w:r w:rsidR="004B65A1">
        <w:rPr>
          <w:szCs w:val="24"/>
        </w:rPr>
        <w:t>Risuenho</w:t>
      </w:r>
      <w:proofErr w:type="spellEnd"/>
      <w:r w:rsidR="004D495F">
        <w:rPr>
          <w:szCs w:val="24"/>
        </w:rPr>
        <w:t xml:space="preserve"> </w:t>
      </w:r>
      <w:r w:rsidR="00C57BFE">
        <w:rPr>
          <w:szCs w:val="24"/>
        </w:rPr>
        <w:t>(OAB/</w:t>
      </w:r>
      <w:r w:rsidR="004B65A1">
        <w:rPr>
          <w:szCs w:val="24"/>
        </w:rPr>
        <w:t>TO</w:t>
      </w:r>
      <w:r w:rsidR="00C57BFE">
        <w:rPr>
          <w:szCs w:val="24"/>
        </w:rPr>
        <w:t xml:space="preserve"> nº</w:t>
      </w:r>
      <w:r w:rsidR="004D495F">
        <w:rPr>
          <w:szCs w:val="24"/>
        </w:rPr>
        <w:t xml:space="preserve"> </w:t>
      </w:r>
      <w:r w:rsidR="004B65A1">
        <w:rPr>
          <w:szCs w:val="24"/>
        </w:rPr>
        <w:t>1</w:t>
      </w:r>
      <w:r w:rsidR="004D495F">
        <w:rPr>
          <w:szCs w:val="24"/>
        </w:rPr>
        <w:t>.</w:t>
      </w:r>
      <w:r w:rsidR="004B65A1">
        <w:rPr>
          <w:szCs w:val="24"/>
        </w:rPr>
        <w:t xml:space="preserve">337 B, </w:t>
      </w:r>
      <w:r w:rsidR="008B1A36">
        <w:rPr>
          <w:szCs w:val="24"/>
        </w:rPr>
        <w:t>peça</w:t>
      </w:r>
      <w:r w:rsidR="00B02E81">
        <w:rPr>
          <w:szCs w:val="24"/>
        </w:rPr>
        <w:t xml:space="preserve"> </w:t>
      </w:r>
      <w:r w:rsidR="004B65A1">
        <w:rPr>
          <w:szCs w:val="24"/>
        </w:rPr>
        <w:t>19</w:t>
      </w:r>
      <w:r w:rsidR="004D495F">
        <w:rPr>
          <w:szCs w:val="24"/>
        </w:rPr>
        <w:t>)</w:t>
      </w:r>
      <w:r w:rsidR="008B1A36">
        <w:rPr>
          <w:szCs w:val="24"/>
        </w:rPr>
        <w:t>.</w:t>
      </w:r>
    </w:p>
    <w:p w:rsidR="008B455E" w:rsidRPr="00770E35" w:rsidRDefault="00C3499E" w:rsidP="00F91713">
      <w:pPr>
        <w:spacing w:after="120"/>
        <w:ind w:left="3969"/>
        <w:rPr>
          <w:rFonts w:ascii="Verdana" w:hAnsi="Verdana"/>
          <w:color w:val="000000"/>
          <w:sz w:val="14"/>
          <w:szCs w:val="14"/>
        </w:rPr>
      </w:pPr>
      <w:r w:rsidRPr="00A737CF">
        <w:rPr>
          <w:b/>
        </w:rPr>
        <w:t>Sumário:</w:t>
      </w:r>
      <w:r w:rsidR="00A737CF">
        <w:rPr>
          <w:b/>
        </w:rPr>
        <w:t xml:space="preserve"> </w:t>
      </w:r>
      <w:r w:rsidR="00010265">
        <w:t>T</w:t>
      </w:r>
      <w:r w:rsidR="00B452CF">
        <w:t>omada de Contas Especial.</w:t>
      </w:r>
      <w:r w:rsidR="00010265">
        <w:t xml:space="preserve"> </w:t>
      </w:r>
      <w:r w:rsidR="00B452CF">
        <w:t xml:space="preserve">Convênio. Inexecução. Contas irregulares. Débito. Multa. </w:t>
      </w:r>
      <w:r w:rsidR="00B452CF" w:rsidRPr="00B452CF">
        <w:rPr>
          <w:color w:val="000000"/>
          <w:szCs w:val="24"/>
        </w:rPr>
        <w:t>Com base no art. 16, inciso III, alínea c, da Lei n. 8.443/1992, julgam-se irregulares as contas, quando constatada a prática de ato antieconômico do qual resulte dano ao erário</w:t>
      </w:r>
      <w:r w:rsidR="00B452CF">
        <w:rPr>
          <w:color w:val="000000"/>
          <w:szCs w:val="24"/>
        </w:rPr>
        <w:t>.</w:t>
      </w:r>
      <w:r w:rsidR="00010265">
        <w:t xml:space="preserve"> Acórdão </w:t>
      </w:r>
      <w:r w:rsidR="00B452CF">
        <w:t>2</w:t>
      </w:r>
      <w:r w:rsidR="00010265">
        <w:t>.</w:t>
      </w:r>
      <w:r w:rsidR="00B452CF">
        <w:t>361</w:t>
      </w:r>
      <w:r w:rsidR="00010265">
        <w:t xml:space="preserve">/2012 – 2ª Câmara. </w:t>
      </w:r>
      <w:r w:rsidR="00770E35">
        <w:t xml:space="preserve">Recurso de Reconsideração. Conhecimento. </w:t>
      </w:r>
      <w:r w:rsidR="00770E35" w:rsidRPr="00770E35">
        <w:rPr>
          <w:b/>
        </w:rPr>
        <w:t>Proposta de</w:t>
      </w:r>
      <w:r w:rsidR="00DF44F6">
        <w:rPr>
          <w:b/>
        </w:rPr>
        <w:t xml:space="preserve"> negativa de</w:t>
      </w:r>
      <w:r w:rsidR="00770E35">
        <w:rPr>
          <w:b/>
        </w:rPr>
        <w:t xml:space="preserve"> provimento</w:t>
      </w:r>
      <w:r w:rsidR="00770E35">
        <w:t>.</w:t>
      </w:r>
    </w:p>
    <w:p w:rsidR="00010265" w:rsidRDefault="00010265" w:rsidP="002A1ED4">
      <w:pPr>
        <w:pStyle w:val="Default"/>
        <w:ind w:firstLine="1134"/>
        <w:jc w:val="both"/>
      </w:pPr>
    </w:p>
    <w:p w:rsidR="00010265" w:rsidRDefault="00010265" w:rsidP="002A1ED4">
      <w:pPr>
        <w:pStyle w:val="Default"/>
        <w:ind w:firstLine="1134"/>
        <w:jc w:val="both"/>
      </w:pPr>
    </w:p>
    <w:p w:rsidR="00DC17B0" w:rsidRPr="00DC17B0" w:rsidRDefault="00C3499E" w:rsidP="00DC17B0">
      <w:pPr>
        <w:pStyle w:val="Default"/>
        <w:ind w:firstLine="1134"/>
        <w:jc w:val="both"/>
      </w:pPr>
      <w:r w:rsidRPr="009900D6">
        <w:t xml:space="preserve">Trata-se de </w:t>
      </w:r>
      <w:r w:rsidR="00A94FE2" w:rsidRPr="009900D6">
        <w:t xml:space="preserve">Recurso de Reconsideração </w:t>
      </w:r>
      <w:r w:rsidRPr="009900D6">
        <w:t>interposto p</w:t>
      </w:r>
      <w:r w:rsidR="00F16839" w:rsidRPr="009900D6">
        <w:t>el</w:t>
      </w:r>
      <w:r w:rsidR="00B452CF">
        <w:t>a Construtora Araújo Ribeiro</w:t>
      </w:r>
      <w:r w:rsidR="001B056C" w:rsidRPr="009900D6">
        <w:t xml:space="preserve"> </w:t>
      </w:r>
      <w:r w:rsidR="00D026AC" w:rsidRPr="009900D6">
        <w:t>(peça</w:t>
      </w:r>
      <w:r w:rsidR="004D495F">
        <w:t xml:space="preserve"> </w:t>
      </w:r>
      <w:r w:rsidR="005A7F32">
        <w:t>46</w:t>
      </w:r>
      <w:r w:rsidR="00D026AC" w:rsidRPr="009900D6">
        <w:t>)</w:t>
      </w:r>
      <w:r w:rsidR="002A06A3" w:rsidRPr="009900D6">
        <w:t xml:space="preserve"> </w:t>
      </w:r>
      <w:r w:rsidRPr="009900D6">
        <w:t xml:space="preserve">contra o Acórdão </w:t>
      </w:r>
      <w:r w:rsidR="00B452CF">
        <w:t>2.361/2012</w:t>
      </w:r>
      <w:r w:rsidR="00BB7FB1" w:rsidRPr="009900D6">
        <w:t xml:space="preserve"> </w:t>
      </w:r>
      <w:r w:rsidR="00F16839" w:rsidRPr="009900D6">
        <w:t>–</w:t>
      </w:r>
      <w:r w:rsidR="00BB7FB1" w:rsidRPr="009900D6">
        <w:t xml:space="preserve"> </w:t>
      </w:r>
      <w:r w:rsidR="004D495F">
        <w:t>Segunda</w:t>
      </w:r>
      <w:r w:rsidR="007C305B" w:rsidRPr="009900D6">
        <w:t xml:space="preserve"> Câmara</w:t>
      </w:r>
      <w:r w:rsidR="001A793C">
        <w:t xml:space="preserve"> (peça 35)</w:t>
      </w:r>
      <w:r w:rsidR="00011745" w:rsidRPr="009900D6">
        <w:t xml:space="preserve"> </w:t>
      </w:r>
      <w:r w:rsidRPr="009900D6">
        <w:t>que</w:t>
      </w:r>
      <w:r w:rsidR="00576658" w:rsidRPr="009900D6">
        <w:t>, entre outras medidas,</w:t>
      </w:r>
      <w:r w:rsidRPr="009900D6">
        <w:t xml:space="preserve"> </w:t>
      </w:r>
      <w:r w:rsidR="00A94FE2" w:rsidRPr="009900D6">
        <w:t>julgou irregulares</w:t>
      </w:r>
      <w:r w:rsidR="00A82479" w:rsidRPr="009900D6">
        <w:t xml:space="preserve"> </w:t>
      </w:r>
      <w:r w:rsidR="00A94FE2" w:rsidRPr="009900D6">
        <w:t>as contas</w:t>
      </w:r>
      <w:r w:rsidR="00B452CF">
        <w:t xml:space="preserve"> e condenou</w:t>
      </w:r>
      <w:r w:rsidR="00D2668A">
        <w:t>, solidariamente,</w:t>
      </w:r>
      <w:r w:rsidR="00B452CF">
        <w:t xml:space="preserve"> em débito (R$ 78.000,00)</w:t>
      </w:r>
      <w:r w:rsidR="00D2668A">
        <w:t xml:space="preserve"> </w:t>
      </w:r>
      <w:r w:rsidR="00B452CF">
        <w:t>o Sr. Valdo Viana Barbosa e a Recorrente</w:t>
      </w:r>
      <w:r w:rsidR="00A94FE2" w:rsidRPr="009900D6">
        <w:t>,</w:t>
      </w:r>
      <w:r w:rsidR="00B452CF">
        <w:t xml:space="preserve"> bem como </w:t>
      </w:r>
      <w:proofErr w:type="gramStart"/>
      <w:r w:rsidR="00A94FE2" w:rsidRPr="009900D6">
        <w:t>aplic</w:t>
      </w:r>
      <w:r w:rsidR="00770E35" w:rsidRPr="009900D6">
        <w:t>ou</w:t>
      </w:r>
      <w:r w:rsidR="00A94FE2" w:rsidRPr="009900D6">
        <w:t>-lhe</w:t>
      </w:r>
      <w:r w:rsidR="00B452CF">
        <w:t>s</w:t>
      </w:r>
      <w:proofErr w:type="gramEnd"/>
      <w:r w:rsidR="00A94FE2" w:rsidRPr="009900D6">
        <w:t xml:space="preserve"> multa</w:t>
      </w:r>
      <w:r w:rsidR="00B452CF">
        <w:t>s, individuais, no valor de R$ 10.000,00.</w:t>
      </w:r>
    </w:p>
    <w:p w:rsidR="00D7166B" w:rsidRPr="009900D6" w:rsidRDefault="00D7166B" w:rsidP="00D7635D">
      <w:pPr>
        <w:pStyle w:val="Recuodecorpodetexto3"/>
        <w:numPr>
          <w:ilvl w:val="0"/>
          <w:numId w:val="21"/>
        </w:numPr>
        <w:tabs>
          <w:tab w:val="left" w:pos="-4251"/>
          <w:tab w:val="left" w:pos="-3351"/>
          <w:tab w:val="left" w:pos="-2451"/>
          <w:tab w:val="left" w:pos="-1551"/>
          <w:tab w:val="left" w:pos="-651"/>
          <w:tab w:val="left" w:pos="1134"/>
        </w:tabs>
        <w:spacing w:before="120" w:after="120"/>
        <w:ind w:left="0" w:firstLine="0"/>
        <w:rPr>
          <w:i w:val="0"/>
          <w:szCs w:val="24"/>
        </w:rPr>
      </w:pPr>
      <w:r w:rsidRPr="009900D6">
        <w:rPr>
          <w:i w:val="0"/>
          <w:szCs w:val="24"/>
        </w:rPr>
        <w:t>Inconformad</w:t>
      </w:r>
      <w:r w:rsidR="00D2668A">
        <w:rPr>
          <w:i w:val="0"/>
          <w:szCs w:val="24"/>
        </w:rPr>
        <w:t>a</w:t>
      </w:r>
      <w:r w:rsidRPr="009900D6">
        <w:rPr>
          <w:i w:val="0"/>
          <w:szCs w:val="24"/>
        </w:rPr>
        <w:t xml:space="preserve"> com a decisão,</w:t>
      </w:r>
      <w:r w:rsidR="00D7635D" w:rsidRPr="009900D6">
        <w:rPr>
          <w:i w:val="0"/>
          <w:szCs w:val="24"/>
        </w:rPr>
        <w:t xml:space="preserve"> </w:t>
      </w:r>
      <w:r w:rsidR="00D2668A">
        <w:rPr>
          <w:i w:val="0"/>
          <w:szCs w:val="24"/>
        </w:rPr>
        <w:t>a</w:t>
      </w:r>
      <w:r w:rsidRPr="009900D6">
        <w:rPr>
          <w:i w:val="0"/>
          <w:szCs w:val="24"/>
        </w:rPr>
        <w:t xml:space="preserve"> </w:t>
      </w:r>
      <w:r w:rsidR="00F16839" w:rsidRPr="009900D6">
        <w:rPr>
          <w:i w:val="0"/>
          <w:szCs w:val="24"/>
        </w:rPr>
        <w:t>Recorrente</w:t>
      </w:r>
      <w:r w:rsidRPr="009900D6">
        <w:rPr>
          <w:i w:val="0"/>
          <w:szCs w:val="24"/>
        </w:rPr>
        <w:t xml:space="preserve"> </w:t>
      </w:r>
      <w:r w:rsidR="00576658" w:rsidRPr="009900D6">
        <w:rPr>
          <w:i w:val="0"/>
          <w:szCs w:val="24"/>
        </w:rPr>
        <w:t xml:space="preserve">em epígrafe </w:t>
      </w:r>
      <w:r w:rsidRPr="009900D6">
        <w:rPr>
          <w:i w:val="0"/>
          <w:szCs w:val="24"/>
        </w:rPr>
        <w:t>interp</w:t>
      </w:r>
      <w:r w:rsidR="00A94FE2" w:rsidRPr="009900D6">
        <w:rPr>
          <w:i w:val="0"/>
          <w:szCs w:val="24"/>
        </w:rPr>
        <w:t>ôs</w:t>
      </w:r>
      <w:r w:rsidRPr="009900D6">
        <w:rPr>
          <w:i w:val="0"/>
          <w:szCs w:val="24"/>
        </w:rPr>
        <w:t xml:space="preserve"> </w:t>
      </w:r>
      <w:r w:rsidR="00F16839" w:rsidRPr="009900D6">
        <w:rPr>
          <w:i w:val="0"/>
          <w:szCs w:val="24"/>
        </w:rPr>
        <w:t>o apelo</w:t>
      </w:r>
      <w:r w:rsidRPr="009900D6">
        <w:rPr>
          <w:i w:val="0"/>
          <w:szCs w:val="24"/>
        </w:rPr>
        <w:t xml:space="preserve"> </w:t>
      </w:r>
      <w:r w:rsidR="00004982" w:rsidRPr="009900D6">
        <w:rPr>
          <w:i w:val="0"/>
          <w:szCs w:val="24"/>
        </w:rPr>
        <w:t>que</w:t>
      </w:r>
      <w:r w:rsidRPr="009900D6">
        <w:rPr>
          <w:i w:val="0"/>
          <w:szCs w:val="24"/>
        </w:rPr>
        <w:t xml:space="preserve"> passa a ser analisado.</w:t>
      </w:r>
    </w:p>
    <w:p w:rsidR="00C3499E" w:rsidRPr="0059210D" w:rsidRDefault="00C3499E" w:rsidP="00506552">
      <w:pPr>
        <w:tabs>
          <w:tab w:val="left" w:pos="1134"/>
        </w:tabs>
        <w:spacing w:after="120"/>
        <w:ind w:firstLine="1134"/>
      </w:pPr>
      <w:r w:rsidRPr="0059210D">
        <w:rPr>
          <w:b/>
        </w:rPr>
        <w:t>HISTÓRICO</w:t>
      </w:r>
      <w:r w:rsidRPr="0059210D">
        <w:tab/>
      </w:r>
    </w:p>
    <w:p w:rsidR="007F15C0" w:rsidRPr="007F15C0" w:rsidRDefault="00EC564C" w:rsidP="007F15C0">
      <w:pPr>
        <w:pStyle w:val="PargrafodaLista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120"/>
        <w:ind w:left="0" w:firstLine="0"/>
        <w:rPr>
          <w:color w:val="000000"/>
          <w:szCs w:val="24"/>
        </w:rPr>
      </w:pPr>
      <w:r w:rsidRPr="007F15C0">
        <w:rPr>
          <w:color w:val="000000"/>
          <w:szCs w:val="24"/>
        </w:rPr>
        <w:t>Trata-se d</w:t>
      </w:r>
      <w:r w:rsidR="00446488">
        <w:rPr>
          <w:color w:val="000000"/>
          <w:szCs w:val="24"/>
        </w:rPr>
        <w:t>e</w:t>
      </w:r>
      <w:r w:rsidRPr="007F15C0">
        <w:rPr>
          <w:color w:val="000000"/>
          <w:szCs w:val="24"/>
        </w:rPr>
        <w:t xml:space="preserve"> </w:t>
      </w:r>
      <w:r w:rsidR="00770E35" w:rsidRPr="007F15C0">
        <w:rPr>
          <w:color w:val="000000"/>
          <w:szCs w:val="24"/>
        </w:rPr>
        <w:t xml:space="preserve">Tomada de Contas Especial </w:t>
      </w:r>
      <w:r w:rsidR="00770E35" w:rsidRPr="008847E9">
        <w:rPr>
          <w:szCs w:val="24"/>
        </w:rPr>
        <w:t xml:space="preserve">instaurada </w:t>
      </w:r>
      <w:r w:rsidR="008847E9" w:rsidRPr="008847E9">
        <w:rPr>
          <w:szCs w:val="24"/>
        </w:rPr>
        <w:t xml:space="preserve">pelo </w:t>
      </w:r>
      <w:r w:rsidR="007F15C0">
        <w:rPr>
          <w:szCs w:val="24"/>
        </w:rPr>
        <w:t xml:space="preserve">Ministério da Integração Nacional – MI, em razão da inexecução do Convênio n. 322/2002, firmado entre essa pasta e o Município de Rio </w:t>
      </w:r>
      <w:proofErr w:type="gramStart"/>
      <w:r w:rsidR="007F15C0">
        <w:rPr>
          <w:szCs w:val="24"/>
        </w:rPr>
        <w:t>da</w:t>
      </w:r>
      <w:proofErr w:type="gramEnd"/>
      <w:r w:rsidR="007F15C0">
        <w:rPr>
          <w:szCs w:val="24"/>
        </w:rPr>
        <w:t xml:space="preserve"> Conceição/TO, tendo como objeto a </w:t>
      </w:r>
      <w:r w:rsidR="007F15C0" w:rsidRPr="007F15C0">
        <w:rPr>
          <w:color w:val="000000"/>
          <w:szCs w:val="24"/>
        </w:rPr>
        <w:t xml:space="preserve">reconstrução de pontes de madeira sobre o rio Manoel Alvinho e o ribeirão </w:t>
      </w:r>
      <w:proofErr w:type="spellStart"/>
      <w:r w:rsidR="007F15C0" w:rsidRPr="007F15C0">
        <w:rPr>
          <w:color w:val="000000"/>
          <w:szCs w:val="24"/>
        </w:rPr>
        <w:t>Mumbuca</w:t>
      </w:r>
      <w:proofErr w:type="spellEnd"/>
      <w:r w:rsidR="007F15C0" w:rsidRPr="007F15C0">
        <w:rPr>
          <w:color w:val="000000"/>
          <w:szCs w:val="24"/>
        </w:rPr>
        <w:t xml:space="preserve">, para o qual foram repassados recursos federais no valor de R$ </w:t>
      </w:r>
      <w:r w:rsidR="007F15C0">
        <w:rPr>
          <w:color w:val="000000"/>
          <w:szCs w:val="24"/>
        </w:rPr>
        <w:t xml:space="preserve">78.000,00 (peça </w:t>
      </w:r>
      <w:proofErr w:type="gramStart"/>
      <w:r w:rsidR="007F15C0">
        <w:rPr>
          <w:color w:val="000000"/>
          <w:szCs w:val="24"/>
        </w:rPr>
        <w:t>1</w:t>
      </w:r>
      <w:proofErr w:type="gramEnd"/>
      <w:r w:rsidR="007F15C0">
        <w:rPr>
          <w:color w:val="000000"/>
          <w:szCs w:val="24"/>
        </w:rPr>
        <w:t>, p. 81 e 182). A contrapartida era de R$ 3.257,97.</w:t>
      </w:r>
    </w:p>
    <w:p w:rsidR="007F15C0" w:rsidRDefault="008847E9" w:rsidP="008847E9">
      <w:pPr>
        <w:tabs>
          <w:tab w:val="left" w:pos="1134"/>
        </w:tabs>
        <w:spacing w:after="120"/>
        <w:rPr>
          <w:color w:val="000000"/>
          <w:szCs w:val="24"/>
        </w:rPr>
      </w:pPr>
      <w:r>
        <w:rPr>
          <w:color w:val="000000"/>
          <w:szCs w:val="24"/>
        </w:rPr>
        <w:t>4.</w:t>
      </w:r>
      <w:r>
        <w:rPr>
          <w:color w:val="000000"/>
          <w:szCs w:val="24"/>
        </w:rPr>
        <w:tab/>
      </w:r>
      <w:r w:rsidR="007F15C0">
        <w:rPr>
          <w:color w:val="000000"/>
          <w:szCs w:val="24"/>
        </w:rPr>
        <w:t xml:space="preserve">A Secretaria Federal de Controle Interno certificou a irregularidade </w:t>
      </w:r>
      <w:r w:rsidR="008216D3">
        <w:rPr>
          <w:color w:val="000000"/>
          <w:szCs w:val="24"/>
        </w:rPr>
        <w:t>das presentes contas e a autoridade ministerial atestou o conhecimento dessa conclusão</w:t>
      </w:r>
      <w:r w:rsidR="0034235F">
        <w:rPr>
          <w:color w:val="000000"/>
          <w:szCs w:val="24"/>
        </w:rPr>
        <w:t xml:space="preserve"> (</w:t>
      </w:r>
      <w:r w:rsidR="00A83655">
        <w:rPr>
          <w:color w:val="000000"/>
          <w:szCs w:val="24"/>
        </w:rPr>
        <w:t xml:space="preserve">p. 287 e 302, </w:t>
      </w:r>
      <w:r w:rsidR="0034235F">
        <w:rPr>
          <w:color w:val="000000"/>
          <w:szCs w:val="24"/>
        </w:rPr>
        <w:t xml:space="preserve">peça </w:t>
      </w:r>
      <w:proofErr w:type="gramStart"/>
      <w:r w:rsidR="0034235F">
        <w:rPr>
          <w:color w:val="000000"/>
          <w:szCs w:val="24"/>
        </w:rPr>
        <w:t>1</w:t>
      </w:r>
      <w:proofErr w:type="gramEnd"/>
      <w:r w:rsidR="0034235F">
        <w:rPr>
          <w:color w:val="000000"/>
          <w:szCs w:val="24"/>
        </w:rPr>
        <w:t>)</w:t>
      </w:r>
      <w:r w:rsidR="008216D3">
        <w:rPr>
          <w:color w:val="000000"/>
          <w:szCs w:val="24"/>
        </w:rPr>
        <w:t>.</w:t>
      </w:r>
    </w:p>
    <w:p w:rsidR="008216D3" w:rsidRDefault="008216D3" w:rsidP="008847E9">
      <w:pPr>
        <w:tabs>
          <w:tab w:val="left" w:pos="1134"/>
        </w:tabs>
        <w:spacing w:after="120"/>
        <w:rPr>
          <w:color w:val="000000"/>
          <w:szCs w:val="24"/>
        </w:rPr>
      </w:pPr>
      <w:r>
        <w:rPr>
          <w:color w:val="000000"/>
          <w:szCs w:val="24"/>
        </w:rPr>
        <w:t>5.</w:t>
      </w:r>
      <w:r>
        <w:rPr>
          <w:color w:val="000000"/>
          <w:szCs w:val="24"/>
        </w:rPr>
        <w:tab/>
        <w:t>No âmbito do TCU, os responsáveis foram citados, porém somente a empresa apresentou defesa. O ex-prefeito foi considerado revel</w:t>
      </w:r>
      <w:r w:rsidR="00A83655">
        <w:rPr>
          <w:color w:val="000000"/>
          <w:szCs w:val="24"/>
        </w:rPr>
        <w:t xml:space="preserve"> (p. 1, peça 34)</w:t>
      </w:r>
      <w:r>
        <w:rPr>
          <w:color w:val="000000"/>
          <w:szCs w:val="24"/>
        </w:rPr>
        <w:t>.</w:t>
      </w:r>
    </w:p>
    <w:p w:rsidR="008216D3" w:rsidRDefault="008216D3" w:rsidP="008216D3">
      <w:pPr>
        <w:tabs>
          <w:tab w:val="left" w:pos="1134"/>
        </w:tabs>
        <w:spacing w:after="120"/>
        <w:rPr>
          <w:color w:val="000000"/>
          <w:szCs w:val="24"/>
        </w:rPr>
      </w:pPr>
      <w:r>
        <w:rPr>
          <w:color w:val="000000"/>
          <w:szCs w:val="24"/>
        </w:rPr>
        <w:t>6.</w:t>
      </w:r>
      <w:r>
        <w:rPr>
          <w:color w:val="000000"/>
          <w:szCs w:val="24"/>
        </w:rPr>
        <w:tab/>
        <w:t xml:space="preserve">Técnicos da Caixa Econômica Federal registraram a inexecução total do objeto, após visita técnica realizada em 30/09/2005. Apontaram um </w:t>
      </w:r>
      <w:r w:rsidRPr="008216D3">
        <w:rPr>
          <w:color w:val="000000"/>
          <w:szCs w:val="24"/>
        </w:rPr>
        <w:t>percentual executado de 0,00%,</w:t>
      </w:r>
      <w:r>
        <w:rPr>
          <w:color w:val="000000"/>
          <w:szCs w:val="24"/>
        </w:rPr>
        <w:t xml:space="preserve"> porém </w:t>
      </w:r>
      <w:proofErr w:type="gramStart"/>
      <w:r w:rsidRPr="008216D3">
        <w:rPr>
          <w:color w:val="000000"/>
          <w:szCs w:val="24"/>
        </w:rPr>
        <w:t>observar</w:t>
      </w:r>
      <w:r>
        <w:rPr>
          <w:color w:val="000000"/>
          <w:szCs w:val="24"/>
        </w:rPr>
        <w:t>am</w:t>
      </w:r>
      <w:proofErr w:type="gramEnd"/>
      <w:r>
        <w:rPr>
          <w:color w:val="000000"/>
          <w:szCs w:val="24"/>
        </w:rPr>
        <w:t xml:space="preserve"> </w:t>
      </w:r>
      <w:r w:rsidRPr="008216D3">
        <w:rPr>
          <w:color w:val="000000"/>
          <w:szCs w:val="24"/>
        </w:rPr>
        <w:t>a existência de material estocado na ponte sobre o rio Manoel Alvinho (brita, pedras e pau de escoramento)</w:t>
      </w:r>
      <w:r w:rsidR="00A83655">
        <w:rPr>
          <w:color w:val="000000"/>
          <w:szCs w:val="24"/>
        </w:rPr>
        <w:t xml:space="preserve"> (p. 195/199, peça 1)</w:t>
      </w:r>
      <w:r w:rsidRPr="008216D3">
        <w:rPr>
          <w:color w:val="000000"/>
          <w:szCs w:val="24"/>
        </w:rPr>
        <w:t>.</w:t>
      </w:r>
    </w:p>
    <w:p w:rsidR="008216D3" w:rsidRPr="008216D3" w:rsidRDefault="008216D3" w:rsidP="008216D3">
      <w:pPr>
        <w:tabs>
          <w:tab w:val="left" w:pos="1134"/>
        </w:tabs>
        <w:spacing w:after="120"/>
        <w:rPr>
          <w:color w:val="000000"/>
          <w:szCs w:val="24"/>
        </w:rPr>
      </w:pPr>
      <w:r>
        <w:rPr>
          <w:color w:val="000000"/>
          <w:szCs w:val="24"/>
        </w:rPr>
        <w:t>7.</w:t>
      </w:r>
      <w:r>
        <w:rPr>
          <w:color w:val="000000"/>
          <w:szCs w:val="24"/>
        </w:rPr>
        <w:tab/>
      </w:r>
      <w:r w:rsidR="00D2668A">
        <w:rPr>
          <w:color w:val="000000"/>
          <w:szCs w:val="24"/>
        </w:rPr>
        <w:t xml:space="preserve">Em análise financeira (p. 211, peça </w:t>
      </w:r>
      <w:proofErr w:type="gramStart"/>
      <w:r w:rsidR="00D2668A">
        <w:rPr>
          <w:color w:val="000000"/>
          <w:szCs w:val="24"/>
        </w:rPr>
        <w:t>1</w:t>
      </w:r>
      <w:proofErr w:type="gramEnd"/>
      <w:r w:rsidR="00D2668A">
        <w:rPr>
          <w:color w:val="000000"/>
          <w:szCs w:val="24"/>
        </w:rPr>
        <w:t>), o</w:t>
      </w:r>
      <w:r>
        <w:rPr>
          <w:color w:val="000000"/>
          <w:szCs w:val="24"/>
        </w:rPr>
        <w:t xml:space="preserve"> Ministério ressaltou</w:t>
      </w:r>
      <w:r w:rsidR="00D2668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a utilização integral dos recursos da União e da contrapartida. Todavia, verificou que o número e o valor dos cheques registrados na relação de pagamentos divergiam das informações constantes do extrato bancário. </w:t>
      </w:r>
    </w:p>
    <w:p w:rsidR="008216D3" w:rsidRPr="008216D3" w:rsidRDefault="008216D3" w:rsidP="008216D3">
      <w:pPr>
        <w:tabs>
          <w:tab w:val="left" w:pos="1134"/>
        </w:tabs>
        <w:spacing w:after="120"/>
        <w:rPr>
          <w:color w:val="000000"/>
          <w:szCs w:val="24"/>
        </w:rPr>
      </w:pPr>
    </w:p>
    <w:p w:rsidR="008216D3" w:rsidRDefault="008216D3" w:rsidP="008847E9">
      <w:pPr>
        <w:tabs>
          <w:tab w:val="left" w:pos="1134"/>
        </w:tabs>
        <w:spacing w:after="12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8.</w:t>
      </w:r>
      <w:r>
        <w:rPr>
          <w:color w:val="000000"/>
          <w:szCs w:val="24"/>
        </w:rPr>
        <w:tab/>
        <w:t xml:space="preserve">O Relator </w:t>
      </w:r>
      <w:r>
        <w:rPr>
          <w:i/>
          <w:color w:val="000000"/>
          <w:szCs w:val="24"/>
        </w:rPr>
        <w:t xml:space="preserve">a </w:t>
      </w:r>
      <w:proofErr w:type="spellStart"/>
      <w:r>
        <w:rPr>
          <w:i/>
          <w:color w:val="000000"/>
          <w:szCs w:val="24"/>
        </w:rPr>
        <w:t>quo</w:t>
      </w:r>
      <w:proofErr w:type="spellEnd"/>
      <w:r>
        <w:rPr>
          <w:i/>
          <w:color w:val="000000"/>
          <w:szCs w:val="24"/>
        </w:rPr>
        <w:t xml:space="preserve">, </w:t>
      </w:r>
      <w:proofErr w:type="spellStart"/>
      <w:r>
        <w:rPr>
          <w:color w:val="000000"/>
          <w:szCs w:val="24"/>
        </w:rPr>
        <w:t>Exmº</w:t>
      </w:r>
      <w:proofErr w:type="spellEnd"/>
      <w:r>
        <w:rPr>
          <w:color w:val="000000"/>
          <w:szCs w:val="24"/>
        </w:rPr>
        <w:t xml:space="preserve"> Ministro Marcos </w:t>
      </w:r>
      <w:proofErr w:type="spellStart"/>
      <w:r>
        <w:rPr>
          <w:color w:val="000000"/>
          <w:szCs w:val="24"/>
        </w:rPr>
        <w:t>Bemquerer</w:t>
      </w:r>
      <w:proofErr w:type="spellEnd"/>
      <w:r>
        <w:rPr>
          <w:color w:val="000000"/>
          <w:szCs w:val="24"/>
        </w:rPr>
        <w:t xml:space="preserve"> Costa, </w:t>
      </w:r>
      <w:r w:rsidR="005A7F32">
        <w:rPr>
          <w:color w:val="000000"/>
          <w:szCs w:val="24"/>
        </w:rPr>
        <w:t>assim resumiu a situação encontrada nestes autos</w:t>
      </w:r>
      <w:r w:rsidR="000C0DC9">
        <w:rPr>
          <w:color w:val="000000"/>
          <w:szCs w:val="24"/>
        </w:rPr>
        <w:t xml:space="preserve"> (peça 34)</w:t>
      </w:r>
      <w:r w:rsidR="005A7F32">
        <w:rPr>
          <w:color w:val="000000"/>
          <w:szCs w:val="24"/>
        </w:rPr>
        <w:t>:</w:t>
      </w:r>
    </w:p>
    <w:p w:rsidR="008216D3" w:rsidRPr="005A7F32" w:rsidRDefault="005A7F32" w:rsidP="005A7F32">
      <w:pPr>
        <w:tabs>
          <w:tab w:val="left" w:pos="1134"/>
        </w:tabs>
        <w:spacing w:after="120"/>
        <w:ind w:left="1134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“</w:t>
      </w:r>
      <w:r w:rsidR="008216D3" w:rsidRPr="005A7F32">
        <w:rPr>
          <w:color w:val="000000"/>
          <w:sz w:val="22"/>
          <w:szCs w:val="22"/>
        </w:rPr>
        <w:t xml:space="preserve">No caso em exame, foi infringida a cláusula segunda, item </w:t>
      </w:r>
      <w:proofErr w:type="gramStart"/>
      <w:r w:rsidR="008216D3" w:rsidRPr="005A7F32">
        <w:rPr>
          <w:color w:val="000000"/>
          <w:sz w:val="22"/>
          <w:szCs w:val="22"/>
        </w:rPr>
        <w:t>2</w:t>
      </w:r>
      <w:proofErr w:type="gramEnd"/>
      <w:r w:rsidR="008216D3" w:rsidRPr="005A7F32">
        <w:rPr>
          <w:color w:val="000000"/>
          <w:sz w:val="22"/>
          <w:szCs w:val="22"/>
        </w:rPr>
        <w:t xml:space="preserve">, alíneas a e b, do Convênio, de acordo com a qual constituem obrigação do Convenente executar o objeto pactuado de acordo com o Plano de Trabalho e aplicar os recursos financeiros exclusivamente no cumprimento do seu objeto. A conduta ilegal do </w:t>
      </w:r>
      <w:proofErr w:type="spellStart"/>
      <w:r w:rsidR="008216D3" w:rsidRPr="005A7F32">
        <w:rPr>
          <w:color w:val="000000"/>
          <w:sz w:val="22"/>
          <w:szCs w:val="22"/>
        </w:rPr>
        <w:t>ex-Prefeito</w:t>
      </w:r>
      <w:proofErr w:type="spellEnd"/>
      <w:r w:rsidR="008216D3" w:rsidRPr="005A7F32">
        <w:rPr>
          <w:color w:val="000000"/>
          <w:sz w:val="22"/>
          <w:szCs w:val="22"/>
        </w:rPr>
        <w:t>, na qualidade de signatário do Convênio e ordenador de despesa, consistiu em efetuar pagamentos em valor superior ao percentual de execução das obras. Por parte da empresa, a ilegalidade residiu em efetuar cobrança por serviços não prestados. Tais ações acarretam, para o ex-gestor e para a beneficiária dos pagamentos indevidos, a obrigação de reparar o dano causado ao erário.</w:t>
      </w:r>
      <w:r>
        <w:rPr>
          <w:color w:val="000000"/>
          <w:szCs w:val="24"/>
        </w:rPr>
        <w:t>”</w:t>
      </w:r>
    </w:p>
    <w:p w:rsidR="00727DBD" w:rsidRDefault="008216D3" w:rsidP="005A7F32">
      <w:pPr>
        <w:tabs>
          <w:tab w:val="left" w:pos="1134"/>
        </w:tabs>
        <w:spacing w:after="120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5A7F32">
        <w:rPr>
          <w:color w:val="000000"/>
          <w:szCs w:val="24"/>
        </w:rPr>
        <w:t>9</w:t>
      </w:r>
      <w:r w:rsidR="00DC17B0">
        <w:rPr>
          <w:color w:val="000000"/>
          <w:szCs w:val="24"/>
        </w:rPr>
        <w:t>.</w:t>
      </w:r>
      <w:r w:rsidR="00DC17B0">
        <w:rPr>
          <w:color w:val="000000"/>
          <w:szCs w:val="24"/>
        </w:rPr>
        <w:tab/>
      </w:r>
      <w:r w:rsidR="002F29A9">
        <w:rPr>
          <w:color w:val="000000"/>
          <w:szCs w:val="24"/>
        </w:rPr>
        <w:t>A</w:t>
      </w:r>
      <w:r w:rsidR="00585038">
        <w:rPr>
          <w:color w:val="000000"/>
          <w:szCs w:val="24"/>
        </w:rPr>
        <w:t xml:space="preserve"> fim de facilitar a observância do</w:t>
      </w:r>
      <w:r w:rsidR="00727DBD">
        <w:rPr>
          <w:color w:val="000000"/>
          <w:szCs w:val="24"/>
        </w:rPr>
        <w:t xml:space="preserve"> art. 69 do RI/TCU, cumpre mencionar que a apreciação destes autos levou </w:t>
      </w:r>
      <w:r w:rsidR="00011745">
        <w:rPr>
          <w:color w:val="000000"/>
          <w:szCs w:val="24"/>
        </w:rPr>
        <w:t>à</w:t>
      </w:r>
      <w:r w:rsidR="00727DBD">
        <w:rPr>
          <w:color w:val="000000"/>
          <w:szCs w:val="24"/>
        </w:rPr>
        <w:t xml:space="preserve"> seguinte deliberação</w:t>
      </w:r>
      <w:r w:rsidR="00F1667B">
        <w:rPr>
          <w:color w:val="000000"/>
          <w:szCs w:val="24"/>
        </w:rPr>
        <w:t xml:space="preserve"> (</w:t>
      </w:r>
      <w:r w:rsidR="00F1667B" w:rsidRPr="0059210D">
        <w:t xml:space="preserve">Acórdão </w:t>
      </w:r>
      <w:r w:rsidR="005A7F32">
        <w:t>2</w:t>
      </w:r>
      <w:r w:rsidR="002F29A9">
        <w:t>.</w:t>
      </w:r>
      <w:r w:rsidR="005A7F32">
        <w:t>361</w:t>
      </w:r>
      <w:r w:rsidR="002F29A9">
        <w:t>/</w:t>
      </w:r>
      <w:r w:rsidR="00F1667B">
        <w:t>201</w:t>
      </w:r>
      <w:r w:rsidR="00693DA5">
        <w:t>2</w:t>
      </w:r>
      <w:r w:rsidR="00F1667B">
        <w:t xml:space="preserve"> – </w:t>
      </w:r>
      <w:r w:rsidR="008847E9">
        <w:t>Segunda</w:t>
      </w:r>
      <w:r w:rsidR="002F29A9">
        <w:t xml:space="preserve"> Câmara</w:t>
      </w:r>
      <w:r w:rsidR="00F1667B">
        <w:t>)</w:t>
      </w:r>
      <w:r w:rsidR="00727DBD">
        <w:rPr>
          <w:color w:val="000000"/>
          <w:szCs w:val="24"/>
        </w:rPr>
        <w:t xml:space="preserve">: </w:t>
      </w:r>
    </w:p>
    <w:p w:rsidR="002A1ED4" w:rsidRDefault="002A1ED4" w:rsidP="006F7C50">
      <w:pPr>
        <w:pStyle w:val="Default"/>
        <w:ind w:left="11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ACORDAM os Ministros do Tribunal de Contas da União, reunidos em sessão da </w:t>
      </w:r>
      <w:r w:rsidR="008847E9">
        <w:rPr>
          <w:sz w:val="23"/>
          <w:szCs w:val="23"/>
        </w:rPr>
        <w:t>2</w:t>
      </w:r>
      <w:r>
        <w:rPr>
          <w:sz w:val="23"/>
          <w:szCs w:val="23"/>
        </w:rPr>
        <w:t xml:space="preserve">ª Câmara, em: </w:t>
      </w:r>
    </w:p>
    <w:p w:rsidR="005A7F32" w:rsidRDefault="005A7F32" w:rsidP="005A7F32">
      <w:pPr>
        <w:pStyle w:val="Default"/>
        <w:ind w:left="1701"/>
        <w:jc w:val="both"/>
        <w:rPr>
          <w:sz w:val="23"/>
          <w:szCs w:val="23"/>
        </w:rPr>
      </w:pPr>
      <w:r>
        <w:t>“</w:t>
      </w:r>
      <w:r>
        <w:rPr>
          <w:sz w:val="23"/>
          <w:szCs w:val="23"/>
        </w:rPr>
        <w:t xml:space="preserve">9.1. julgar irregulares </w:t>
      </w:r>
      <w:proofErr w:type="gramStart"/>
      <w:r>
        <w:rPr>
          <w:sz w:val="23"/>
          <w:szCs w:val="23"/>
        </w:rPr>
        <w:t>as presentes</w:t>
      </w:r>
      <w:proofErr w:type="gramEnd"/>
      <w:r>
        <w:rPr>
          <w:sz w:val="23"/>
          <w:szCs w:val="23"/>
        </w:rPr>
        <w:t xml:space="preserve"> contas, nos termos dos </w:t>
      </w:r>
      <w:proofErr w:type="spellStart"/>
      <w:r>
        <w:rPr>
          <w:sz w:val="23"/>
          <w:szCs w:val="23"/>
        </w:rPr>
        <w:t>arts</w:t>
      </w:r>
      <w:proofErr w:type="spellEnd"/>
      <w:r>
        <w:rPr>
          <w:sz w:val="23"/>
          <w:szCs w:val="23"/>
        </w:rPr>
        <w:t xml:space="preserve">. 1º, inciso I, 16, inciso III, alínea </w:t>
      </w:r>
      <w:r>
        <w:rPr>
          <w:b/>
          <w:bCs/>
          <w:sz w:val="23"/>
          <w:szCs w:val="23"/>
        </w:rPr>
        <w:t>c</w:t>
      </w:r>
      <w:r>
        <w:rPr>
          <w:sz w:val="23"/>
          <w:szCs w:val="23"/>
        </w:rPr>
        <w:t xml:space="preserve">, e 19, </w:t>
      </w:r>
      <w:r>
        <w:rPr>
          <w:b/>
          <w:bCs/>
          <w:sz w:val="23"/>
          <w:szCs w:val="23"/>
        </w:rPr>
        <w:t>caput</w:t>
      </w:r>
      <w:r>
        <w:rPr>
          <w:sz w:val="23"/>
          <w:szCs w:val="23"/>
        </w:rPr>
        <w:t xml:space="preserve">, da Lei n. 8.443/1992, e condenar o Sr. Valdo Viana Barbosa, solidariamente com a Construtora Araújo Ribeiro Ltda., ao pagamento do débito de R$ 78.000,00 (setenta e oito mil reais), atualizado monetariamente e acrescido dos juros de mora a partir de 30/12/2004 até a sua efetiva quitação, fixando-lhes o prazo de 15 (quinze) dias, a contar do recebimento das notificações, para que comprovem, perante o Tribunal (art. 214, inciso III, alínea </w:t>
      </w:r>
      <w:r>
        <w:rPr>
          <w:b/>
          <w:bCs/>
          <w:sz w:val="23"/>
          <w:szCs w:val="23"/>
        </w:rPr>
        <w:t>a</w:t>
      </w:r>
      <w:r>
        <w:rPr>
          <w:sz w:val="23"/>
          <w:szCs w:val="23"/>
        </w:rPr>
        <w:t xml:space="preserve">, do Regimento Interno/TCU), o recolhimento da dívida aos cofres do Tesouro Nacional, nos termos da legislação em vigor; </w:t>
      </w:r>
    </w:p>
    <w:p w:rsidR="005A7F32" w:rsidRDefault="005A7F32" w:rsidP="005A7F32">
      <w:pPr>
        <w:pStyle w:val="Default"/>
        <w:ind w:left="170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9.2. </w:t>
      </w:r>
      <w:proofErr w:type="gramStart"/>
      <w:r>
        <w:rPr>
          <w:sz w:val="23"/>
          <w:szCs w:val="23"/>
        </w:rPr>
        <w:t>aplicar</w:t>
      </w:r>
      <w:proofErr w:type="gramEnd"/>
      <w:r>
        <w:rPr>
          <w:sz w:val="23"/>
          <w:szCs w:val="23"/>
        </w:rPr>
        <w:t xml:space="preserve"> a multa prevista no art. 57 da Lei n. 8.443/1992 ao Sr. Valdo Viana Barbosa e à Construtora Araújo Ribeiro Ltda., nos valores individuais de R$ 10.000,00 (dez mil reais), fixando o prazo de 15 (quinze) dias, a contar da notificação, para que comprovem, perante o Tribunal (art. 214, inciso III, alínea </w:t>
      </w:r>
      <w:r>
        <w:rPr>
          <w:b/>
          <w:bCs/>
          <w:sz w:val="23"/>
          <w:szCs w:val="23"/>
        </w:rPr>
        <w:t>a</w:t>
      </w:r>
      <w:r>
        <w:rPr>
          <w:sz w:val="23"/>
          <w:szCs w:val="23"/>
        </w:rPr>
        <w:t xml:space="preserve">, do RI/TCU), o recolhimento das dívidas ao Tesouro Nacional, atualizadas monetariamente desde a data do presente Acórdão até a do efetivo recolhimento, caso pagas após o vencimento, na forma da legislação em vigor; </w:t>
      </w:r>
    </w:p>
    <w:p w:rsidR="005A7F32" w:rsidRDefault="005A7F32" w:rsidP="005A7F32">
      <w:pPr>
        <w:pStyle w:val="Default"/>
        <w:ind w:left="170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9.3. </w:t>
      </w:r>
      <w:proofErr w:type="gramStart"/>
      <w:r>
        <w:rPr>
          <w:sz w:val="23"/>
          <w:szCs w:val="23"/>
        </w:rPr>
        <w:t>autorizar</w:t>
      </w:r>
      <w:proofErr w:type="gramEnd"/>
      <w:r>
        <w:rPr>
          <w:sz w:val="23"/>
          <w:szCs w:val="23"/>
        </w:rPr>
        <w:t xml:space="preserve"> desde logo a cobrança judicial das dívidas, nos termos do art. 28, inciso II, da Lei n. 8.443/1992, caso não atendidas as notificações; </w:t>
      </w:r>
    </w:p>
    <w:p w:rsidR="005A7F32" w:rsidRDefault="005A7F32" w:rsidP="005A7F32">
      <w:pPr>
        <w:autoSpaceDE w:val="0"/>
        <w:autoSpaceDN w:val="0"/>
        <w:adjustRightInd w:val="0"/>
        <w:ind w:left="1701"/>
        <w:rPr>
          <w:sz w:val="22"/>
          <w:szCs w:val="22"/>
        </w:rPr>
      </w:pPr>
      <w:r>
        <w:rPr>
          <w:sz w:val="23"/>
          <w:szCs w:val="23"/>
        </w:rPr>
        <w:t xml:space="preserve">9.4. </w:t>
      </w:r>
      <w:proofErr w:type="gramStart"/>
      <w:r>
        <w:rPr>
          <w:sz w:val="23"/>
          <w:szCs w:val="23"/>
        </w:rPr>
        <w:t>enviar</w:t>
      </w:r>
      <w:proofErr w:type="gramEnd"/>
      <w:r>
        <w:rPr>
          <w:sz w:val="23"/>
          <w:szCs w:val="23"/>
        </w:rPr>
        <w:t xml:space="preserve"> cópia deste Acórdão, bem como do Relatório e Proposta de Deliberação que o fundamentam, à Procuradoria da República no Estado de Tocantins, com fundamento no art. 16, § 3º, da Lei n. 8.443/1992.”</w:t>
      </w:r>
    </w:p>
    <w:p w:rsidR="005A7F32" w:rsidRDefault="005A7F32" w:rsidP="007A6C18">
      <w:pPr>
        <w:autoSpaceDE w:val="0"/>
        <w:autoSpaceDN w:val="0"/>
        <w:adjustRightInd w:val="0"/>
        <w:ind w:left="1701"/>
        <w:rPr>
          <w:sz w:val="22"/>
          <w:szCs w:val="22"/>
        </w:rPr>
      </w:pPr>
    </w:p>
    <w:p w:rsidR="005A7F32" w:rsidRDefault="005A7F32" w:rsidP="007A6C18">
      <w:pPr>
        <w:autoSpaceDE w:val="0"/>
        <w:autoSpaceDN w:val="0"/>
        <w:adjustRightInd w:val="0"/>
        <w:ind w:left="1701"/>
        <w:rPr>
          <w:sz w:val="22"/>
          <w:szCs w:val="22"/>
        </w:rPr>
      </w:pPr>
    </w:p>
    <w:p w:rsidR="004E7B9D" w:rsidRDefault="007A6C18" w:rsidP="00B2422A">
      <w:pPr>
        <w:tabs>
          <w:tab w:val="left" w:pos="1134"/>
        </w:tabs>
        <w:rPr>
          <w:b/>
          <w:snapToGrid w:val="0"/>
        </w:rPr>
      </w:pPr>
      <w:r>
        <w:rPr>
          <w:snapToGrid w:val="0"/>
        </w:rPr>
        <w:tab/>
      </w:r>
      <w:r>
        <w:rPr>
          <w:b/>
          <w:snapToGrid w:val="0"/>
        </w:rPr>
        <w:t>EXAME DE ADIMISSBILIDADE</w:t>
      </w:r>
    </w:p>
    <w:p w:rsidR="007A6C18" w:rsidRDefault="007A6C18" w:rsidP="00B2422A">
      <w:pPr>
        <w:tabs>
          <w:tab w:val="left" w:pos="1134"/>
        </w:tabs>
        <w:rPr>
          <w:b/>
          <w:snapToGrid w:val="0"/>
        </w:rPr>
      </w:pPr>
    </w:p>
    <w:p w:rsidR="007A6C18" w:rsidRPr="007A6C18" w:rsidRDefault="005A7F32" w:rsidP="007A6C18">
      <w:pPr>
        <w:tabs>
          <w:tab w:val="left" w:pos="1134"/>
        </w:tabs>
        <w:rPr>
          <w:snapToGrid w:val="0"/>
        </w:rPr>
      </w:pPr>
      <w:r>
        <w:rPr>
          <w:snapToGrid w:val="0"/>
        </w:rPr>
        <w:t>10.</w:t>
      </w:r>
      <w:r w:rsidR="007A6C18">
        <w:rPr>
          <w:snapToGrid w:val="0"/>
        </w:rPr>
        <w:tab/>
        <w:t xml:space="preserve">Reitera-se o exame </w:t>
      </w:r>
      <w:r w:rsidR="007A6C18" w:rsidRPr="0059210D">
        <w:t>preliminar de admissibilidade</w:t>
      </w:r>
      <w:r w:rsidR="007A6C18">
        <w:t xml:space="preserve"> </w:t>
      </w:r>
      <w:r w:rsidR="007A6C18" w:rsidRPr="0059210D">
        <w:t>(</w:t>
      </w:r>
      <w:r w:rsidR="007A6C18">
        <w:t xml:space="preserve">peça </w:t>
      </w:r>
      <w:r>
        <w:t>57</w:t>
      </w:r>
      <w:r w:rsidR="007A6C18" w:rsidRPr="0059210D">
        <w:t>),</w:t>
      </w:r>
      <w:r w:rsidR="007A6C18">
        <w:t xml:space="preserve"> </w:t>
      </w:r>
      <w:r w:rsidR="007A6C18" w:rsidRPr="0059210D">
        <w:t>ratificado pel</w:t>
      </w:r>
      <w:r w:rsidR="007A6C18">
        <w:t>o</w:t>
      </w:r>
      <w:r w:rsidR="007A6C18" w:rsidRPr="0059210D">
        <w:t xml:space="preserve"> </w:t>
      </w:r>
      <w:r w:rsidR="007A6C18">
        <w:t>M</w:t>
      </w:r>
      <w:r w:rsidR="007A6C18" w:rsidRPr="0059210D">
        <w:t>inistr</w:t>
      </w:r>
      <w:r w:rsidR="007A6C18">
        <w:t>o</w:t>
      </w:r>
      <w:r w:rsidR="007A6C18" w:rsidRPr="0059210D">
        <w:t>-</w:t>
      </w:r>
      <w:r w:rsidR="007A6C18" w:rsidRPr="007A6C18">
        <w:t xml:space="preserve"> </w:t>
      </w:r>
      <w:r w:rsidR="007A6C18" w:rsidRPr="0059210D">
        <w:t>Relator (</w:t>
      </w:r>
      <w:r w:rsidR="007A6C18">
        <w:t xml:space="preserve">peça </w:t>
      </w:r>
      <w:r w:rsidR="000C0DC9">
        <w:t>61</w:t>
      </w:r>
      <w:r w:rsidR="007A6C18" w:rsidRPr="0059210D">
        <w:t xml:space="preserve">), </w:t>
      </w:r>
      <w:r w:rsidR="007A6C18">
        <w:t xml:space="preserve">que </w:t>
      </w:r>
      <w:r w:rsidR="007A6C18" w:rsidRPr="0059210D">
        <w:t>conclu</w:t>
      </w:r>
      <w:r w:rsidR="007A6C18">
        <w:t>iu</w:t>
      </w:r>
      <w:r w:rsidR="007A6C18" w:rsidRPr="0059210D">
        <w:t xml:space="preserve"> pelo con</w:t>
      </w:r>
      <w:r w:rsidR="007A6C18">
        <w:t>h</w:t>
      </w:r>
      <w:r w:rsidR="007A6C18" w:rsidRPr="0059210D">
        <w:t>ecimento do</w:t>
      </w:r>
      <w:r w:rsidR="007A6C18">
        <w:t xml:space="preserve"> presente apelo,</w:t>
      </w:r>
      <w:r w:rsidR="00DC17B0">
        <w:t xml:space="preserve"> </w:t>
      </w:r>
      <w:r w:rsidR="00DC17B0" w:rsidRPr="007A6C18">
        <w:rPr>
          <w:szCs w:val="24"/>
        </w:rPr>
        <w:t xml:space="preserve">nos termos dos </w:t>
      </w:r>
      <w:proofErr w:type="spellStart"/>
      <w:r w:rsidR="00DC17B0" w:rsidRPr="007A6C18">
        <w:rPr>
          <w:szCs w:val="24"/>
        </w:rPr>
        <w:t>arts</w:t>
      </w:r>
      <w:proofErr w:type="spellEnd"/>
      <w:r w:rsidR="00DC17B0" w:rsidRPr="007A6C18">
        <w:rPr>
          <w:szCs w:val="24"/>
        </w:rPr>
        <w:t>. 32, inciso I, e 33 da Lei 8.443/1992, suspendendo-se os efeitos</w:t>
      </w:r>
      <w:r w:rsidR="00DC17B0">
        <w:rPr>
          <w:szCs w:val="24"/>
        </w:rPr>
        <w:t xml:space="preserve"> </w:t>
      </w:r>
      <w:r w:rsidR="00DC17B0" w:rsidRPr="007A6C18">
        <w:rPr>
          <w:szCs w:val="24"/>
        </w:rPr>
        <w:t>dos itens 9.1</w:t>
      </w:r>
      <w:r>
        <w:rPr>
          <w:szCs w:val="24"/>
        </w:rPr>
        <w:t>,</w:t>
      </w:r>
      <w:r w:rsidR="00DC17B0" w:rsidRPr="007A6C18">
        <w:rPr>
          <w:szCs w:val="24"/>
        </w:rPr>
        <w:t xml:space="preserve"> 9.2</w:t>
      </w:r>
      <w:r>
        <w:rPr>
          <w:szCs w:val="24"/>
        </w:rPr>
        <w:t xml:space="preserve"> e 9.3</w:t>
      </w:r>
      <w:r w:rsidR="00DC17B0" w:rsidRPr="007A6C18">
        <w:rPr>
          <w:szCs w:val="24"/>
        </w:rPr>
        <w:t xml:space="preserve"> do acórdão recorrido, com fulcro no art. 285, </w:t>
      </w:r>
      <w:r w:rsidR="00DC17B0" w:rsidRPr="007A6C18">
        <w:rPr>
          <w:i/>
          <w:iCs/>
          <w:szCs w:val="24"/>
        </w:rPr>
        <w:t>caput</w:t>
      </w:r>
      <w:r w:rsidR="00DC17B0" w:rsidRPr="007A6C18">
        <w:rPr>
          <w:szCs w:val="24"/>
        </w:rPr>
        <w:t>, do RI/TCU, e</w:t>
      </w:r>
      <w:r w:rsidR="00DC17B0">
        <w:rPr>
          <w:szCs w:val="24"/>
        </w:rPr>
        <w:t xml:space="preserve"> </w:t>
      </w:r>
      <w:r w:rsidR="00DC17B0" w:rsidRPr="007A6C18">
        <w:rPr>
          <w:szCs w:val="24"/>
        </w:rPr>
        <w:t>art. 48, § 2º, da Resolução-TCU 191/2006</w:t>
      </w:r>
      <w:r w:rsidR="00DC17B0">
        <w:rPr>
          <w:szCs w:val="24"/>
        </w:rPr>
        <w:t xml:space="preserve">, conforme análise de admissibilidade realizada pela </w:t>
      </w:r>
      <w:proofErr w:type="spellStart"/>
      <w:r w:rsidR="00DC17B0">
        <w:rPr>
          <w:szCs w:val="24"/>
        </w:rPr>
        <w:t>Serur</w:t>
      </w:r>
      <w:proofErr w:type="spellEnd"/>
      <w:r w:rsidR="00DC17B0">
        <w:rPr>
          <w:szCs w:val="24"/>
        </w:rPr>
        <w:t>.</w:t>
      </w:r>
    </w:p>
    <w:p w:rsidR="00DC17B0" w:rsidRDefault="00DC17B0" w:rsidP="00BE3257">
      <w:pPr>
        <w:widowControl w:val="0"/>
        <w:tabs>
          <w:tab w:val="left" w:pos="1134"/>
        </w:tabs>
        <w:spacing w:after="120"/>
        <w:rPr>
          <w:b/>
          <w:szCs w:val="24"/>
        </w:rPr>
      </w:pPr>
    </w:p>
    <w:p w:rsidR="00C3499E" w:rsidRPr="0059210D" w:rsidRDefault="008212A0" w:rsidP="00BE3257">
      <w:pPr>
        <w:widowControl w:val="0"/>
        <w:tabs>
          <w:tab w:val="left" w:pos="1134"/>
        </w:tabs>
        <w:spacing w:after="120"/>
        <w:rPr>
          <w:b/>
          <w:szCs w:val="24"/>
        </w:rPr>
      </w:pPr>
      <w:r>
        <w:rPr>
          <w:b/>
          <w:szCs w:val="24"/>
        </w:rPr>
        <w:tab/>
      </w:r>
      <w:r w:rsidR="00C3499E" w:rsidRPr="0059210D">
        <w:rPr>
          <w:b/>
          <w:szCs w:val="24"/>
        </w:rPr>
        <w:t>EXAME TÉCNICO</w:t>
      </w:r>
    </w:p>
    <w:p w:rsidR="00C3499E" w:rsidRPr="00A82479" w:rsidRDefault="005A7F32" w:rsidP="0010197C">
      <w:pPr>
        <w:tabs>
          <w:tab w:val="left" w:pos="1134"/>
        </w:tabs>
        <w:spacing w:after="120"/>
        <w:rPr>
          <w:color w:val="548DD4"/>
          <w:szCs w:val="24"/>
        </w:rPr>
      </w:pPr>
      <w:r>
        <w:rPr>
          <w:szCs w:val="24"/>
        </w:rPr>
        <w:lastRenderedPageBreak/>
        <w:t>11</w:t>
      </w:r>
      <w:r w:rsidR="0010197C" w:rsidRPr="00A82479">
        <w:rPr>
          <w:szCs w:val="24"/>
        </w:rPr>
        <w:t>.</w:t>
      </w:r>
      <w:r w:rsidR="0010197C" w:rsidRPr="00A82479">
        <w:rPr>
          <w:szCs w:val="24"/>
        </w:rPr>
        <w:tab/>
        <w:t>A seguir serão apresentados os argumentos d</w:t>
      </w:r>
      <w:r w:rsidR="00D66E56" w:rsidRPr="00A82479">
        <w:rPr>
          <w:szCs w:val="24"/>
        </w:rPr>
        <w:t>o</w:t>
      </w:r>
      <w:r w:rsidR="00D36838" w:rsidRPr="00A82479">
        <w:rPr>
          <w:szCs w:val="24"/>
        </w:rPr>
        <w:t xml:space="preserve"> </w:t>
      </w:r>
      <w:r w:rsidR="0010197C" w:rsidRPr="00A82479">
        <w:rPr>
          <w:szCs w:val="24"/>
        </w:rPr>
        <w:t>Recorrente, de maneira sintética, seguidos das respectivas análises.</w:t>
      </w:r>
    </w:p>
    <w:p w:rsidR="0099038A" w:rsidRDefault="005A7F32" w:rsidP="005A7F32">
      <w:pPr>
        <w:tabs>
          <w:tab w:val="left" w:pos="1134"/>
        </w:tabs>
        <w:spacing w:after="120"/>
      </w:pPr>
      <w:r>
        <w:t>12.</w:t>
      </w:r>
      <w:r w:rsidR="00FC422C">
        <w:rPr>
          <w:b/>
        </w:rPr>
        <w:tab/>
        <w:t xml:space="preserve">Argumento: </w:t>
      </w:r>
      <w:r w:rsidR="00FC422C">
        <w:t xml:space="preserve">após </w:t>
      </w:r>
      <w:r w:rsidR="00847BF9">
        <w:t xml:space="preserve">apresentar resumo dos fatos ocorridos nestes autos e na ação que tramita na Justiça Federal para apuração de crime de responsabilidade e de falsidade ideológica, a Recorrente passa a expor as razões recursais propriamente ditas (p. 17, peça 46, item </w:t>
      </w:r>
      <w:proofErr w:type="gramStart"/>
      <w:r w:rsidR="00847BF9">
        <w:t>6</w:t>
      </w:r>
      <w:proofErr w:type="gramEnd"/>
      <w:r w:rsidR="00847BF9">
        <w:t>).</w:t>
      </w:r>
    </w:p>
    <w:p w:rsidR="00341306" w:rsidRDefault="00847BF9" w:rsidP="005A7F32">
      <w:pPr>
        <w:tabs>
          <w:tab w:val="left" w:pos="1134"/>
        </w:tabs>
        <w:spacing w:after="120"/>
      </w:pPr>
      <w:r>
        <w:t>13.</w:t>
      </w:r>
      <w:r>
        <w:tab/>
        <w:t xml:space="preserve">Alega que a atipicidade de sua conduta não foi examinada na TCE tampouco no procedimento judicial, </w:t>
      </w:r>
      <w:r w:rsidR="00341306">
        <w:t xml:space="preserve">considerando a não constatação do “dolo específico previstos pelos tipos indicados nos autos”, a saber: </w:t>
      </w:r>
    </w:p>
    <w:p w:rsidR="005A7F32" w:rsidRDefault="00341306" w:rsidP="00341306">
      <w:pPr>
        <w:tabs>
          <w:tab w:val="left" w:pos="1134"/>
        </w:tabs>
      </w:pPr>
      <w:r>
        <w:t xml:space="preserve">- Cláusulas Primeira e Segunda, item </w:t>
      </w:r>
      <w:proofErr w:type="gramStart"/>
      <w:r>
        <w:t>2</w:t>
      </w:r>
      <w:proofErr w:type="gramEnd"/>
      <w:r>
        <w:t>, alíneas “a”, “b” e “o”; Cláusula Sexta, Subcláusulas Primeira e Segunda, do Convênio 322/2002;</w:t>
      </w:r>
    </w:p>
    <w:p w:rsidR="00341306" w:rsidRDefault="00341306" w:rsidP="00341306">
      <w:pPr>
        <w:tabs>
          <w:tab w:val="left" w:pos="1134"/>
        </w:tabs>
      </w:pPr>
      <w:r>
        <w:t>- art. 145 do Decreto 93.872/1986;</w:t>
      </w:r>
    </w:p>
    <w:p w:rsidR="00341306" w:rsidRDefault="00341306" w:rsidP="00341306">
      <w:pPr>
        <w:tabs>
          <w:tab w:val="left" w:pos="1134"/>
        </w:tabs>
      </w:pPr>
      <w:r>
        <w:t>- art. 93 do Decreto-Lei 200/1967;</w:t>
      </w:r>
    </w:p>
    <w:p w:rsidR="00341306" w:rsidRDefault="00341306" w:rsidP="00341306">
      <w:pPr>
        <w:tabs>
          <w:tab w:val="left" w:pos="1134"/>
        </w:tabs>
        <w:spacing w:after="120"/>
      </w:pPr>
      <w:r>
        <w:t xml:space="preserve">- art. 1º, inciso I, do Decreto-Lei 201/1967 (crime de responsabilidade) c/c os </w:t>
      </w:r>
      <w:proofErr w:type="spellStart"/>
      <w:r>
        <w:t>arts</w:t>
      </w:r>
      <w:proofErr w:type="spellEnd"/>
      <w:r>
        <w:t>. 29 e 299 do Código Penal (crime de falsidade ideológica);</w:t>
      </w:r>
    </w:p>
    <w:p w:rsidR="00341306" w:rsidRPr="00341306" w:rsidRDefault="00341306" w:rsidP="00341306">
      <w:pPr>
        <w:tabs>
          <w:tab w:val="left" w:pos="1134"/>
        </w:tabs>
        <w:spacing w:after="120"/>
      </w:pPr>
      <w:r w:rsidRPr="00341306">
        <w:t>14.</w:t>
      </w:r>
      <w:r w:rsidRPr="00341306">
        <w:tab/>
      </w:r>
      <w:r>
        <w:t xml:space="preserve">Esclarece que para configuração dos “delitos apontados na TCE” </w:t>
      </w:r>
      <w:r w:rsidR="001B63D4">
        <w:t>seria necessária a vontade deliberada do agente de desviar e apropriar-se de recursos públicos, ou utilizá-los em proveito de terceiro, de forma ilícita.</w:t>
      </w:r>
    </w:p>
    <w:p w:rsidR="005A7F32" w:rsidRPr="00341306" w:rsidRDefault="001B63D4" w:rsidP="005A7F32">
      <w:pPr>
        <w:tabs>
          <w:tab w:val="left" w:pos="1134"/>
        </w:tabs>
        <w:spacing w:after="120"/>
      </w:pPr>
      <w:r>
        <w:t>15.</w:t>
      </w:r>
      <w:r>
        <w:tab/>
        <w:t xml:space="preserve">Cita trecho do depoimento que prestou na 2ª Vara da Seção Judiciária de Tocantins, informando que após sagrar-se vencedora da licitação foi procurada pelo </w:t>
      </w:r>
      <w:proofErr w:type="spellStart"/>
      <w:proofErr w:type="gramStart"/>
      <w:r>
        <w:t>ex-Prefeito</w:t>
      </w:r>
      <w:proofErr w:type="spellEnd"/>
      <w:proofErr w:type="gramEnd"/>
      <w:r>
        <w:t xml:space="preserve"> Valdo Viana Barbosa que</w:t>
      </w:r>
      <w:r w:rsidR="008D51F5">
        <w:t xml:space="preserve">, sob pena de cancelamento do contrato, impôs condições como a indicação por ele da mão- </w:t>
      </w:r>
      <w:proofErr w:type="spellStart"/>
      <w:r w:rsidR="008D51F5">
        <w:t>de-obra</w:t>
      </w:r>
      <w:proofErr w:type="spellEnd"/>
      <w:r w:rsidR="008D51F5">
        <w:t>. Afirma que recebeu o valor da obra descontados os impostos e que o repassava à pessoa indicada pelo ex-prefeito para execu</w:t>
      </w:r>
      <w:r w:rsidR="006F7C50">
        <w:t>tá-la</w:t>
      </w:r>
      <w:r w:rsidR="008D51F5">
        <w:t>.</w:t>
      </w:r>
    </w:p>
    <w:p w:rsidR="005A7F32" w:rsidRDefault="008D51F5" w:rsidP="005A7F32">
      <w:pPr>
        <w:tabs>
          <w:tab w:val="left" w:pos="1134"/>
        </w:tabs>
        <w:spacing w:after="120"/>
      </w:pPr>
      <w:r w:rsidRPr="008D51F5">
        <w:t>16.</w:t>
      </w:r>
      <w:r w:rsidRPr="008D51F5">
        <w:tab/>
      </w:r>
      <w:r>
        <w:t xml:space="preserve">Assevera que queria executar a obra, porém só lhe foi “outorgada </w:t>
      </w:r>
      <w:proofErr w:type="gramStart"/>
      <w:r>
        <w:t>a</w:t>
      </w:r>
      <w:proofErr w:type="gramEnd"/>
      <w:r>
        <w:t xml:space="preserve"> execução de direito” e não de fato.</w:t>
      </w:r>
      <w:r w:rsidR="002B10F4">
        <w:t xml:space="preserve"> A Prefeitura se comprometeu com a execução da obra </w:t>
      </w:r>
      <w:r w:rsidR="002B10F4">
        <w:rPr>
          <w:i/>
        </w:rPr>
        <w:t xml:space="preserve">in </w:t>
      </w:r>
      <w:proofErr w:type="spellStart"/>
      <w:r w:rsidR="002B10F4">
        <w:rPr>
          <w:i/>
        </w:rPr>
        <w:t>totum</w:t>
      </w:r>
      <w:proofErr w:type="spellEnd"/>
      <w:r w:rsidR="002B10F4">
        <w:t>.</w:t>
      </w:r>
    </w:p>
    <w:p w:rsidR="0099038A" w:rsidRDefault="008D51F5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17.</w:t>
      </w:r>
      <w:r>
        <w:rPr>
          <w:szCs w:val="24"/>
        </w:rPr>
        <w:tab/>
      </w:r>
      <w:r w:rsidR="002B10F4">
        <w:rPr>
          <w:szCs w:val="24"/>
        </w:rPr>
        <w:t xml:space="preserve">A Recorrente afirma que restou demonstrado tanto na TCE quanto na ação judicial que não houve dolo de sua parte quanto ao desvio dos recursos públicos, na medida em que acreditava </w:t>
      </w:r>
      <w:r w:rsidR="00127E25">
        <w:rPr>
          <w:szCs w:val="24"/>
        </w:rPr>
        <w:t>que a obra estava sendo executada pela Prefeitura.</w:t>
      </w:r>
    </w:p>
    <w:p w:rsidR="00127E25" w:rsidRDefault="00127E25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18.</w:t>
      </w:r>
      <w:r>
        <w:rPr>
          <w:szCs w:val="24"/>
        </w:rPr>
        <w:tab/>
        <w:t xml:space="preserve">A empresa considerava que sua conduta poderia ser tida, no máximo, como inadimplemento </w:t>
      </w:r>
      <w:proofErr w:type="spellStart"/>
      <w:r>
        <w:rPr>
          <w:szCs w:val="24"/>
        </w:rPr>
        <w:t>contratutal</w:t>
      </w:r>
      <w:proofErr w:type="spellEnd"/>
      <w:r>
        <w:rPr>
          <w:szCs w:val="24"/>
        </w:rPr>
        <w:t>, jamais como crime, por acreditar que a obra estava sendo de fato executada.</w:t>
      </w:r>
    </w:p>
    <w:p w:rsidR="00BA0B11" w:rsidRDefault="006F7C50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19.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 w:rsidR="00F64BE8">
        <w:rPr>
          <w:szCs w:val="24"/>
        </w:rPr>
        <w:t xml:space="preserve">preliminarmente, é preciso lembrar que a responsabilização penal da pessoa jurídica é tema altamente </w:t>
      </w:r>
      <w:proofErr w:type="gramStart"/>
      <w:r w:rsidR="00BA0B11">
        <w:rPr>
          <w:szCs w:val="24"/>
        </w:rPr>
        <w:t>controverso</w:t>
      </w:r>
      <w:r w:rsidR="00F64BE8">
        <w:rPr>
          <w:szCs w:val="24"/>
        </w:rPr>
        <w:t xml:space="preserve"> em nosso ordenamento jurídico, </w:t>
      </w:r>
      <w:r w:rsidR="00BA0B11">
        <w:rPr>
          <w:szCs w:val="24"/>
        </w:rPr>
        <w:t xml:space="preserve">existindo </w:t>
      </w:r>
      <w:r w:rsidR="00F64BE8">
        <w:rPr>
          <w:szCs w:val="24"/>
        </w:rPr>
        <w:t>ac</w:t>
      </w:r>
      <w:r w:rsidR="00BA0B11">
        <w:rPr>
          <w:szCs w:val="24"/>
        </w:rPr>
        <w:t>alorados</w:t>
      </w:r>
      <w:proofErr w:type="gramEnd"/>
      <w:r w:rsidR="00F64BE8">
        <w:rPr>
          <w:szCs w:val="24"/>
        </w:rPr>
        <w:t xml:space="preserve"> debates</w:t>
      </w:r>
      <w:r w:rsidR="00BA0B11">
        <w:rPr>
          <w:szCs w:val="24"/>
        </w:rPr>
        <w:t xml:space="preserve"> doutrinários a esse respeito. Os sustentáculos legais suscitados pelos defensores dessa tese encontram-se basicamente n</w:t>
      </w:r>
      <w:r w:rsidR="006B310A">
        <w:rPr>
          <w:szCs w:val="24"/>
        </w:rPr>
        <w:t>a Constituição Federal, n</w:t>
      </w:r>
      <w:r w:rsidR="00BA0B11">
        <w:rPr>
          <w:szCs w:val="24"/>
        </w:rPr>
        <w:t>os</w:t>
      </w:r>
      <w:r w:rsidR="006B310A">
        <w:rPr>
          <w:szCs w:val="24"/>
        </w:rPr>
        <w:t xml:space="preserve"> </w:t>
      </w:r>
      <w:proofErr w:type="spellStart"/>
      <w:r w:rsidR="00BA0B11">
        <w:rPr>
          <w:szCs w:val="24"/>
        </w:rPr>
        <w:t>arts</w:t>
      </w:r>
      <w:proofErr w:type="spellEnd"/>
      <w:r w:rsidR="00BA0B11">
        <w:rPr>
          <w:szCs w:val="24"/>
        </w:rPr>
        <w:t>.</w:t>
      </w:r>
      <w:r w:rsidR="006B310A">
        <w:rPr>
          <w:szCs w:val="24"/>
        </w:rPr>
        <w:t xml:space="preserve"> 173, §5º, (crimes contra a ordem econômica e financeira), e </w:t>
      </w:r>
      <w:r w:rsidR="00BA0B11">
        <w:rPr>
          <w:szCs w:val="24"/>
        </w:rPr>
        <w:t>225, §3º</w:t>
      </w:r>
      <w:r w:rsidR="006B310A">
        <w:rPr>
          <w:szCs w:val="24"/>
        </w:rPr>
        <w:t>,</w:t>
      </w:r>
      <w:r w:rsidR="00BA0B11">
        <w:rPr>
          <w:szCs w:val="24"/>
        </w:rPr>
        <w:t xml:space="preserve"> </w:t>
      </w:r>
      <w:r w:rsidR="006B310A">
        <w:rPr>
          <w:szCs w:val="24"/>
        </w:rPr>
        <w:t>(crimes ambientais)</w:t>
      </w:r>
      <w:r w:rsidR="00BA0B11">
        <w:rPr>
          <w:szCs w:val="24"/>
        </w:rPr>
        <w:t>, a saber:</w:t>
      </w:r>
    </w:p>
    <w:p w:rsidR="006B310A" w:rsidRPr="006B310A" w:rsidRDefault="006B310A" w:rsidP="006B310A">
      <w:pPr>
        <w:tabs>
          <w:tab w:val="left" w:pos="1134"/>
        </w:tabs>
        <w:autoSpaceDE w:val="0"/>
        <w:autoSpaceDN w:val="0"/>
        <w:adjustRightInd w:val="0"/>
        <w:ind w:left="1134"/>
        <w:jc w:val="left"/>
        <w:rPr>
          <w:rFonts w:ascii="AGaramondPro-Regular" w:hAnsi="AGaramondPro-Regular" w:cs="AGaramondPro-Regular"/>
          <w:szCs w:val="24"/>
          <w:u w:val="single"/>
        </w:rPr>
      </w:pPr>
      <w:r w:rsidRPr="006B310A">
        <w:rPr>
          <w:rFonts w:ascii="AGaramondPro-Regular" w:hAnsi="AGaramondPro-Regular" w:cs="AGaramondPro-Regular"/>
          <w:szCs w:val="24"/>
          <w:u w:val="single"/>
        </w:rPr>
        <w:t>Art. 173, § 5º:</w:t>
      </w:r>
    </w:p>
    <w:p w:rsidR="006B310A" w:rsidRDefault="006B310A" w:rsidP="006B310A">
      <w:pPr>
        <w:autoSpaceDE w:val="0"/>
        <w:autoSpaceDN w:val="0"/>
        <w:adjustRightInd w:val="0"/>
        <w:ind w:left="1134"/>
        <w:rPr>
          <w:rFonts w:ascii="AGaramondPro-Regular" w:hAnsi="AGaramondPro-Regular" w:cs="AGaramondPro-Regular"/>
          <w:szCs w:val="24"/>
          <w:u w:val="single"/>
        </w:rPr>
      </w:pPr>
      <w:r>
        <w:rPr>
          <w:rFonts w:ascii="AGaramondPro-Regular" w:hAnsi="AGaramondPro-Regular" w:cs="AGaramondPro-Regular"/>
          <w:szCs w:val="24"/>
        </w:rPr>
        <w:t>A lei, sem prejuízo da responsabilidade individual dos dirigentes da pessoa jurídica, estabelecerá a responsabilidade desta, sujeitando-as às punições compatíveis com sua natureza, nos atos praticados contra a ordem econômica e financeira e contra a economia popular.</w:t>
      </w:r>
    </w:p>
    <w:p w:rsidR="006B310A" w:rsidRDefault="006B310A" w:rsidP="00BA0B11">
      <w:pPr>
        <w:autoSpaceDE w:val="0"/>
        <w:autoSpaceDN w:val="0"/>
        <w:adjustRightInd w:val="0"/>
        <w:ind w:left="1134"/>
        <w:rPr>
          <w:rFonts w:ascii="AGaramondPro-Regular" w:hAnsi="AGaramondPro-Regular" w:cs="AGaramondPro-Regular"/>
          <w:szCs w:val="24"/>
          <w:u w:val="single"/>
        </w:rPr>
      </w:pPr>
    </w:p>
    <w:p w:rsidR="006B310A" w:rsidRPr="006B310A" w:rsidRDefault="006B310A" w:rsidP="00BA0B11">
      <w:pPr>
        <w:autoSpaceDE w:val="0"/>
        <w:autoSpaceDN w:val="0"/>
        <w:adjustRightInd w:val="0"/>
        <w:ind w:left="1134"/>
        <w:rPr>
          <w:rFonts w:ascii="AGaramondPro-Regular" w:hAnsi="AGaramondPro-Regular" w:cs="AGaramondPro-Regular"/>
          <w:szCs w:val="24"/>
          <w:u w:val="single"/>
        </w:rPr>
      </w:pPr>
      <w:r w:rsidRPr="006B310A">
        <w:rPr>
          <w:rFonts w:ascii="AGaramondPro-Regular" w:hAnsi="AGaramondPro-Regular" w:cs="AGaramondPro-Regular"/>
          <w:szCs w:val="24"/>
          <w:u w:val="single"/>
        </w:rPr>
        <w:t>Art. 225, § 3º:</w:t>
      </w:r>
    </w:p>
    <w:p w:rsidR="00BA0B11" w:rsidRDefault="00BA0B11" w:rsidP="006B310A">
      <w:pPr>
        <w:autoSpaceDE w:val="0"/>
        <w:autoSpaceDN w:val="0"/>
        <w:adjustRightInd w:val="0"/>
        <w:spacing w:after="120"/>
        <w:ind w:left="1134"/>
        <w:rPr>
          <w:szCs w:val="24"/>
        </w:rPr>
      </w:pPr>
      <w:r>
        <w:rPr>
          <w:rFonts w:ascii="AGaramondPro-Regular" w:hAnsi="AGaramondPro-Regular" w:cs="AGaramondPro-Regular"/>
          <w:szCs w:val="24"/>
        </w:rPr>
        <w:lastRenderedPageBreak/>
        <w:t>As condutas e atividade</w:t>
      </w:r>
      <w:r w:rsidR="006B310A">
        <w:rPr>
          <w:rFonts w:ascii="AGaramondPro-Regular" w:hAnsi="AGaramondPro-Regular" w:cs="AGaramondPro-Regular"/>
          <w:szCs w:val="24"/>
        </w:rPr>
        <w:t>s</w:t>
      </w:r>
      <w:r>
        <w:rPr>
          <w:rFonts w:ascii="AGaramondPro-Regular" w:hAnsi="AGaramondPro-Regular" w:cs="AGaramondPro-Regular"/>
          <w:szCs w:val="24"/>
        </w:rPr>
        <w:t xml:space="preserve"> consideradas lesivas ao meio ambiente sujeitarão os infratores, pessoas físicas ou jurídicas, a sanções penais e administrativas, independentemente da obrigação de reparar os danos causados.</w:t>
      </w:r>
    </w:p>
    <w:p w:rsidR="006E031C" w:rsidRDefault="006B310A" w:rsidP="006B310A">
      <w:pPr>
        <w:tabs>
          <w:tab w:val="left" w:pos="1134"/>
        </w:tabs>
        <w:autoSpaceDE w:val="0"/>
        <w:autoSpaceDN w:val="0"/>
        <w:adjustRightInd w:val="0"/>
        <w:spacing w:after="120"/>
        <w:rPr>
          <w:szCs w:val="24"/>
        </w:rPr>
      </w:pPr>
      <w:r>
        <w:rPr>
          <w:rFonts w:ascii="AGaramondPro-Regular" w:hAnsi="AGaramondPro-Regular" w:cs="AGaramondPro-Regular"/>
          <w:szCs w:val="24"/>
        </w:rPr>
        <w:t>20.</w:t>
      </w:r>
      <w:r>
        <w:rPr>
          <w:rFonts w:ascii="AGaramondPro-Regular" w:hAnsi="AGaramondPro-Regular" w:cs="AGaramondPro-Regular"/>
          <w:szCs w:val="24"/>
        </w:rPr>
        <w:tab/>
      </w:r>
      <w:r w:rsidR="00D2668A">
        <w:rPr>
          <w:rFonts w:ascii="AGaramondPro-Regular" w:hAnsi="AGaramondPro-Regular" w:cs="AGaramondPro-Regular"/>
          <w:szCs w:val="24"/>
        </w:rPr>
        <w:t xml:space="preserve">Além disso, </w:t>
      </w:r>
      <w:r>
        <w:rPr>
          <w:szCs w:val="24"/>
        </w:rPr>
        <w:t>as alegações de natureza penal trazidas pela Recorrente refogem da competência d</w:t>
      </w:r>
      <w:r w:rsidR="00F64BE8">
        <w:rPr>
          <w:szCs w:val="24"/>
        </w:rPr>
        <w:t>o</w:t>
      </w:r>
      <w:r w:rsidR="004D7117">
        <w:rPr>
          <w:szCs w:val="24"/>
        </w:rPr>
        <w:t xml:space="preserve"> </w:t>
      </w:r>
      <w:r w:rsidR="006F7C50">
        <w:rPr>
          <w:szCs w:val="24"/>
        </w:rPr>
        <w:t xml:space="preserve">Tribunal de Contas da União </w:t>
      </w:r>
      <w:r>
        <w:rPr>
          <w:szCs w:val="24"/>
        </w:rPr>
        <w:t>que</w:t>
      </w:r>
      <w:r w:rsidR="004D7117">
        <w:rPr>
          <w:szCs w:val="24"/>
        </w:rPr>
        <w:t xml:space="preserve"> </w:t>
      </w:r>
      <w:r w:rsidR="00F64BE8">
        <w:rPr>
          <w:szCs w:val="24"/>
        </w:rPr>
        <w:t xml:space="preserve">exerce jurisdição </w:t>
      </w:r>
      <w:r>
        <w:rPr>
          <w:szCs w:val="24"/>
        </w:rPr>
        <w:t>d</w:t>
      </w:r>
      <w:r w:rsidR="00F64BE8">
        <w:rPr>
          <w:szCs w:val="24"/>
        </w:rPr>
        <w:t xml:space="preserve">e controle externo. </w:t>
      </w:r>
    </w:p>
    <w:p w:rsidR="006F7C50" w:rsidRDefault="006E031C" w:rsidP="006B310A">
      <w:pPr>
        <w:tabs>
          <w:tab w:val="left" w:pos="1134"/>
        </w:tabs>
        <w:autoSpaceDE w:val="0"/>
        <w:autoSpaceDN w:val="0"/>
        <w:adjustRightInd w:val="0"/>
        <w:spacing w:after="120"/>
        <w:rPr>
          <w:szCs w:val="24"/>
        </w:rPr>
      </w:pPr>
      <w:r>
        <w:rPr>
          <w:szCs w:val="24"/>
        </w:rPr>
        <w:t>21.</w:t>
      </w:r>
      <w:r>
        <w:rPr>
          <w:szCs w:val="24"/>
        </w:rPr>
        <w:tab/>
        <w:t>O TCU examina a responsabilidade subjetiva dos agentes públicos e a solidariedade dos terceiros não integrantes da Administração que com esta tenham contratado. As referências a dolo e a culpa são adotadas na perspectiva da responsabilidade civil.</w:t>
      </w:r>
    </w:p>
    <w:p w:rsidR="004D7117" w:rsidRPr="006F7C50" w:rsidRDefault="004D7117" w:rsidP="006B310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2</w:t>
      </w:r>
      <w:r w:rsidR="006E031C">
        <w:rPr>
          <w:szCs w:val="24"/>
        </w:rPr>
        <w:t>2</w:t>
      </w:r>
      <w:r>
        <w:rPr>
          <w:szCs w:val="24"/>
        </w:rPr>
        <w:t>.</w:t>
      </w:r>
      <w:r>
        <w:rPr>
          <w:szCs w:val="24"/>
        </w:rPr>
        <w:tab/>
        <w:t>A situação posta nestes autos é p</w:t>
      </w:r>
      <w:r w:rsidR="00CA3F65">
        <w:rPr>
          <w:szCs w:val="24"/>
        </w:rPr>
        <w:t>eculiar, pois contém</w:t>
      </w:r>
      <w:r>
        <w:rPr>
          <w:szCs w:val="24"/>
        </w:rPr>
        <w:t xml:space="preserve"> a confissão da empresa contratada de que apenas </w:t>
      </w:r>
      <w:r w:rsidR="004E317A">
        <w:rPr>
          <w:szCs w:val="24"/>
        </w:rPr>
        <w:t>foi utilizada como</w:t>
      </w:r>
      <w:r>
        <w:rPr>
          <w:szCs w:val="24"/>
        </w:rPr>
        <w:t xml:space="preserve"> fachada para a malversação de recursos públicos.</w:t>
      </w:r>
    </w:p>
    <w:p w:rsidR="0030742E" w:rsidRDefault="004D7117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2</w:t>
      </w:r>
      <w:r w:rsidR="006E031C">
        <w:rPr>
          <w:szCs w:val="24"/>
        </w:rPr>
        <w:t>3</w:t>
      </w:r>
      <w:r>
        <w:rPr>
          <w:szCs w:val="24"/>
        </w:rPr>
        <w:t>.</w:t>
      </w:r>
      <w:r>
        <w:rPr>
          <w:szCs w:val="24"/>
        </w:rPr>
        <w:tab/>
        <w:t xml:space="preserve">O fato de somente depois de </w:t>
      </w:r>
      <w:r w:rsidR="006E031C">
        <w:rPr>
          <w:szCs w:val="24"/>
        </w:rPr>
        <w:t>sagrar-se</w:t>
      </w:r>
      <w:r>
        <w:rPr>
          <w:szCs w:val="24"/>
        </w:rPr>
        <w:t xml:space="preserve"> venc</w:t>
      </w:r>
      <w:r w:rsidR="006E031C">
        <w:rPr>
          <w:szCs w:val="24"/>
        </w:rPr>
        <w:t>edora d</w:t>
      </w:r>
      <w:r>
        <w:rPr>
          <w:szCs w:val="24"/>
        </w:rPr>
        <w:t xml:space="preserve">a licitação ter sido comunicada pelo ex-prefeito que não executaria a obra e que deveria repassar os valores recebidos a terceiros não elimina </w:t>
      </w:r>
      <w:r w:rsidR="00EA61D5">
        <w:rPr>
          <w:szCs w:val="24"/>
        </w:rPr>
        <w:t>a participação da empresa na lesão perpetrada aos cofres públicos.</w:t>
      </w:r>
      <w:r>
        <w:rPr>
          <w:szCs w:val="24"/>
        </w:rPr>
        <w:t xml:space="preserve"> </w:t>
      </w:r>
      <w:r w:rsidR="00EA61D5">
        <w:rPr>
          <w:szCs w:val="24"/>
        </w:rPr>
        <w:t xml:space="preserve">A partir do momento </w:t>
      </w:r>
      <w:r w:rsidR="006E031C">
        <w:rPr>
          <w:szCs w:val="24"/>
        </w:rPr>
        <w:t xml:space="preserve">em </w:t>
      </w:r>
      <w:r w:rsidR="00EA61D5">
        <w:rPr>
          <w:szCs w:val="24"/>
        </w:rPr>
        <w:t>que a contratada anuiu a essa prática vinculou-se solidariamente ao ex-prefeito, passando a ter o dever do ressarcimento.</w:t>
      </w:r>
    </w:p>
    <w:p w:rsidR="00821209" w:rsidRDefault="0030742E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2</w:t>
      </w:r>
      <w:r w:rsidR="006E031C">
        <w:rPr>
          <w:szCs w:val="24"/>
        </w:rPr>
        <w:t>4</w:t>
      </w:r>
      <w:r>
        <w:rPr>
          <w:szCs w:val="24"/>
        </w:rPr>
        <w:t>.</w:t>
      </w:r>
      <w:r>
        <w:rPr>
          <w:szCs w:val="24"/>
        </w:rPr>
        <w:tab/>
      </w:r>
      <w:r w:rsidR="006A046A">
        <w:rPr>
          <w:szCs w:val="24"/>
        </w:rPr>
        <w:t>A</w:t>
      </w:r>
      <w:r w:rsidR="00CA3F65">
        <w:rPr>
          <w:szCs w:val="24"/>
        </w:rPr>
        <w:t xml:space="preserve">s razões recursais ora examinadas </w:t>
      </w:r>
      <w:r w:rsidR="006A046A">
        <w:rPr>
          <w:szCs w:val="24"/>
        </w:rPr>
        <w:t>comprova</w:t>
      </w:r>
      <w:r w:rsidR="00CA3F65">
        <w:rPr>
          <w:szCs w:val="24"/>
        </w:rPr>
        <w:t xml:space="preserve">m cabalmente </w:t>
      </w:r>
      <w:r w:rsidR="006A046A">
        <w:rPr>
          <w:szCs w:val="24"/>
        </w:rPr>
        <w:t xml:space="preserve">a responsabilidade do </w:t>
      </w:r>
      <w:proofErr w:type="spellStart"/>
      <w:r w:rsidR="006E031C">
        <w:rPr>
          <w:szCs w:val="24"/>
        </w:rPr>
        <w:t>ex-</w:t>
      </w:r>
      <w:r w:rsidR="006A046A">
        <w:rPr>
          <w:szCs w:val="24"/>
        </w:rPr>
        <w:t>gestor</w:t>
      </w:r>
      <w:proofErr w:type="spellEnd"/>
      <w:r w:rsidR="006A046A">
        <w:rPr>
          <w:szCs w:val="24"/>
        </w:rPr>
        <w:t xml:space="preserve"> público</w:t>
      </w:r>
      <w:r w:rsidR="00CA3F65">
        <w:rPr>
          <w:szCs w:val="24"/>
        </w:rPr>
        <w:t xml:space="preserve"> e, por conseqüência, respaldam nos termos da jurisprudência do TCU a condenação solidária da empresa contratada</w:t>
      </w:r>
      <w:r w:rsidR="00821209">
        <w:rPr>
          <w:szCs w:val="24"/>
        </w:rPr>
        <w:t xml:space="preserve">. </w:t>
      </w:r>
    </w:p>
    <w:p w:rsidR="00821209" w:rsidRPr="00A45960" w:rsidRDefault="00821209" w:rsidP="0099038A">
      <w:pPr>
        <w:tabs>
          <w:tab w:val="left" w:pos="1134"/>
        </w:tabs>
        <w:spacing w:after="120"/>
        <w:rPr>
          <w:rFonts w:ascii="Arial" w:hAnsi="Arial" w:cs="Arial"/>
          <w:color w:val="000000"/>
          <w:sz w:val="20"/>
        </w:rPr>
      </w:pPr>
      <w:r>
        <w:rPr>
          <w:szCs w:val="24"/>
        </w:rPr>
        <w:t>2</w:t>
      </w:r>
      <w:r w:rsidR="006E031C">
        <w:rPr>
          <w:szCs w:val="24"/>
        </w:rPr>
        <w:t>5</w:t>
      </w:r>
      <w:r>
        <w:rPr>
          <w:szCs w:val="24"/>
        </w:rPr>
        <w:t>.</w:t>
      </w:r>
      <w:r>
        <w:rPr>
          <w:szCs w:val="24"/>
        </w:rPr>
        <w:tab/>
        <w:t xml:space="preserve">Da mesma forma, a legislação ampara a atuação do Tribunal de Contas da União em casos como o que ora se examina, pois ao </w:t>
      </w:r>
      <w:r w:rsidR="00A45960">
        <w:rPr>
          <w:szCs w:val="24"/>
        </w:rPr>
        <w:t xml:space="preserve">exercer seu </w:t>
      </w:r>
      <w:proofErr w:type="gramStart"/>
      <w:r w:rsidR="00A45960">
        <w:rPr>
          <w:szCs w:val="24"/>
        </w:rPr>
        <w:t>mister</w:t>
      </w:r>
      <w:proofErr w:type="gramEnd"/>
      <w:r w:rsidR="00A45960">
        <w:rPr>
          <w:szCs w:val="24"/>
        </w:rPr>
        <w:t xml:space="preserve"> de controle externo da maneira outorgada pela Constituição Federal, o TCU pode </w:t>
      </w:r>
      <w:r w:rsidRPr="00A45960">
        <w:rPr>
          <w:color w:val="000000"/>
          <w:szCs w:val="24"/>
        </w:rPr>
        <w:t>aplicar aos responsáveis, em caso de ilegalidade de despesa ou irregularidade de contas, as sanções previstas em lei, que estabelecerá, entre outras cominações, multa proporcional ao dano causado ao erário</w:t>
      </w:r>
      <w:r w:rsidR="00A45960">
        <w:rPr>
          <w:color w:val="000000"/>
          <w:szCs w:val="24"/>
        </w:rPr>
        <w:t>. Nessa perspectiva, a Lei 8.443/29,</w:t>
      </w:r>
      <w:r w:rsidR="00040E5A">
        <w:rPr>
          <w:color w:val="000000"/>
          <w:szCs w:val="24"/>
        </w:rPr>
        <w:t xml:space="preserve"> art. 16,</w:t>
      </w:r>
      <w:r w:rsidR="00A45960">
        <w:rPr>
          <w:color w:val="000000"/>
          <w:szCs w:val="24"/>
        </w:rPr>
        <w:t xml:space="preserve"> inciso III, §2º, prevê que:</w:t>
      </w:r>
    </w:p>
    <w:p w:rsidR="004E317A" w:rsidRPr="004E317A" w:rsidRDefault="00A45960" w:rsidP="00A45960">
      <w:pPr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4E317A">
        <w:rPr>
          <w:sz w:val="22"/>
          <w:szCs w:val="22"/>
        </w:rPr>
        <w:t>“</w:t>
      </w:r>
      <w:r w:rsidR="004E317A" w:rsidRPr="004E317A">
        <w:rPr>
          <w:sz w:val="22"/>
          <w:szCs w:val="22"/>
        </w:rPr>
        <w:t>§ 2° Nas hipóteses do inciso III, alíneas c e d deste artigo, o Tribunal, ao julgar irregulares as contas, fixará a responsabilidade solidária:</w:t>
      </w:r>
    </w:p>
    <w:p w:rsidR="004E317A" w:rsidRPr="004E317A" w:rsidRDefault="004E317A" w:rsidP="004E317A">
      <w:pPr>
        <w:ind w:left="1134"/>
        <w:jc w:val="left"/>
        <w:rPr>
          <w:sz w:val="22"/>
          <w:szCs w:val="22"/>
        </w:rPr>
      </w:pPr>
      <w:proofErr w:type="gramEnd"/>
      <w:r w:rsidRPr="004E317A">
        <w:rPr>
          <w:sz w:val="22"/>
          <w:szCs w:val="22"/>
        </w:rPr>
        <w:t>        a) do ag</w:t>
      </w:r>
      <w:r>
        <w:rPr>
          <w:sz w:val="22"/>
          <w:szCs w:val="22"/>
        </w:rPr>
        <w:t>e</w:t>
      </w:r>
      <w:r w:rsidRPr="004E317A">
        <w:rPr>
          <w:sz w:val="22"/>
          <w:szCs w:val="22"/>
        </w:rPr>
        <w:t xml:space="preserve">nte público que praticou o ato irregular, </w:t>
      </w:r>
      <w:proofErr w:type="gramStart"/>
      <w:r w:rsidRPr="004E317A">
        <w:rPr>
          <w:sz w:val="22"/>
          <w:szCs w:val="22"/>
        </w:rPr>
        <w:t>e</w:t>
      </w:r>
      <w:proofErr w:type="gramEnd"/>
    </w:p>
    <w:p w:rsidR="004E317A" w:rsidRPr="004E317A" w:rsidRDefault="004E317A" w:rsidP="004E317A">
      <w:pPr>
        <w:spacing w:after="120"/>
        <w:ind w:left="1560"/>
        <w:jc w:val="left"/>
        <w:rPr>
          <w:sz w:val="22"/>
          <w:szCs w:val="22"/>
        </w:rPr>
      </w:pPr>
      <w:r w:rsidRPr="004E317A">
        <w:rPr>
          <w:sz w:val="22"/>
          <w:szCs w:val="22"/>
        </w:rPr>
        <w:t xml:space="preserve">b) </w:t>
      </w:r>
      <w:proofErr w:type="gramStart"/>
      <w:r w:rsidRPr="004E317A">
        <w:rPr>
          <w:sz w:val="22"/>
          <w:szCs w:val="22"/>
        </w:rPr>
        <w:t xml:space="preserve">do </w:t>
      </w:r>
      <w:r w:rsidRPr="004E317A">
        <w:rPr>
          <w:b/>
          <w:sz w:val="22"/>
          <w:szCs w:val="22"/>
        </w:rPr>
        <w:t>terceiro</w:t>
      </w:r>
      <w:r w:rsidRPr="004E317A">
        <w:rPr>
          <w:sz w:val="22"/>
          <w:szCs w:val="22"/>
        </w:rPr>
        <w:t xml:space="preserve"> que, como contratante ou parte interessada na prática do mesmo ato, de qualquer modo haja concorrido para o cometimento do dano apurado.</w:t>
      </w:r>
      <w:r>
        <w:rPr>
          <w:sz w:val="22"/>
          <w:szCs w:val="22"/>
        </w:rPr>
        <w:t>”</w:t>
      </w:r>
      <w:proofErr w:type="gramEnd"/>
      <w:r w:rsidR="00827F0E">
        <w:rPr>
          <w:sz w:val="22"/>
          <w:szCs w:val="22"/>
        </w:rPr>
        <w:t xml:space="preserve"> (negrito acrescido)</w:t>
      </w:r>
    </w:p>
    <w:p w:rsidR="00A45960" w:rsidRDefault="00CA3F65" w:rsidP="00A45960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2</w:t>
      </w:r>
      <w:r w:rsidR="00827F0E">
        <w:rPr>
          <w:szCs w:val="24"/>
        </w:rPr>
        <w:t>6</w:t>
      </w:r>
      <w:r>
        <w:rPr>
          <w:szCs w:val="24"/>
        </w:rPr>
        <w:t>.</w:t>
      </w:r>
      <w:r>
        <w:rPr>
          <w:szCs w:val="24"/>
        </w:rPr>
        <w:tab/>
        <w:t xml:space="preserve">Nota-se que a </w:t>
      </w:r>
      <w:r w:rsidR="00A45960">
        <w:rPr>
          <w:szCs w:val="24"/>
        </w:rPr>
        <w:t>conduta</w:t>
      </w:r>
      <w:r>
        <w:rPr>
          <w:szCs w:val="24"/>
        </w:rPr>
        <w:t xml:space="preserve"> da Recorrente foi determinante para a ocorrência do dano verificado nestes autos.</w:t>
      </w:r>
      <w:r w:rsidR="00154230">
        <w:rPr>
          <w:szCs w:val="24"/>
        </w:rPr>
        <w:t xml:space="preserve"> Ademais, seja sob o enfoque dos princípios da licitação seja dos princípios da Administração Pública, infere-se que a contratada tinha o dever </w:t>
      </w:r>
      <w:r w:rsidR="00A45960">
        <w:rPr>
          <w:szCs w:val="24"/>
        </w:rPr>
        <w:t xml:space="preserve">legal e </w:t>
      </w:r>
      <w:r w:rsidR="00154230">
        <w:rPr>
          <w:szCs w:val="24"/>
        </w:rPr>
        <w:t>moral de denunciar</w:t>
      </w:r>
      <w:r>
        <w:rPr>
          <w:szCs w:val="24"/>
        </w:rPr>
        <w:t xml:space="preserve"> </w:t>
      </w:r>
      <w:r w:rsidR="00154230">
        <w:rPr>
          <w:szCs w:val="24"/>
        </w:rPr>
        <w:t>a</w:t>
      </w:r>
      <w:r w:rsidR="00A45960">
        <w:rPr>
          <w:szCs w:val="24"/>
        </w:rPr>
        <w:t xml:space="preserve"> conduta do ex-prefeito.  </w:t>
      </w:r>
    </w:p>
    <w:p w:rsidR="00127E25" w:rsidRDefault="004E317A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2</w:t>
      </w:r>
      <w:r w:rsidR="00827F0E">
        <w:rPr>
          <w:szCs w:val="24"/>
        </w:rPr>
        <w:t>7</w:t>
      </w:r>
      <w:r w:rsidR="00127E25">
        <w:rPr>
          <w:szCs w:val="24"/>
        </w:rPr>
        <w:t>.</w:t>
      </w:r>
      <w:r w:rsidR="00127E25">
        <w:rPr>
          <w:szCs w:val="24"/>
        </w:rPr>
        <w:tab/>
      </w:r>
      <w:r w:rsidR="00127E25">
        <w:rPr>
          <w:b/>
          <w:szCs w:val="24"/>
        </w:rPr>
        <w:t xml:space="preserve">Argumento: </w:t>
      </w:r>
      <w:r w:rsidR="00127E25">
        <w:rPr>
          <w:szCs w:val="24"/>
        </w:rPr>
        <w:t xml:space="preserve">assevera que não houve apropriação ilícita de sua parte, mas sim negligência ao aceitar que a obra fosse executada por terceiro. Nessa perspectiva, conclui que sua conduta foi atípica porque a negligência é um elemento da culpa e os delitos em foco não prevêem a forma culposa. </w:t>
      </w:r>
    </w:p>
    <w:p w:rsidR="004E317A" w:rsidRPr="004E317A" w:rsidRDefault="004E317A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2</w:t>
      </w:r>
      <w:r w:rsidR="00827F0E">
        <w:rPr>
          <w:szCs w:val="24"/>
        </w:rPr>
        <w:t>8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>
        <w:rPr>
          <w:szCs w:val="24"/>
        </w:rPr>
        <w:t xml:space="preserve">a </w:t>
      </w:r>
      <w:r w:rsidR="00827F0E">
        <w:rPr>
          <w:szCs w:val="24"/>
        </w:rPr>
        <w:t>l</w:t>
      </w:r>
      <w:r>
        <w:rPr>
          <w:szCs w:val="24"/>
        </w:rPr>
        <w:t xml:space="preserve">inha de defesa </w:t>
      </w:r>
      <w:r w:rsidR="00827F0E">
        <w:rPr>
          <w:szCs w:val="24"/>
        </w:rPr>
        <w:t>adotada pela Recorrente – a</w:t>
      </w:r>
      <w:r>
        <w:rPr>
          <w:szCs w:val="24"/>
        </w:rPr>
        <w:t xml:space="preserve">ssentada exclusivamente na teoria penal </w:t>
      </w:r>
      <w:r w:rsidR="00827F0E">
        <w:rPr>
          <w:szCs w:val="24"/>
        </w:rPr>
        <w:t xml:space="preserve">- </w:t>
      </w:r>
      <w:r>
        <w:rPr>
          <w:szCs w:val="24"/>
        </w:rPr>
        <w:t xml:space="preserve">não </w:t>
      </w:r>
      <w:r w:rsidR="00827F0E">
        <w:rPr>
          <w:szCs w:val="24"/>
        </w:rPr>
        <w:t>é</w:t>
      </w:r>
      <w:r>
        <w:rPr>
          <w:szCs w:val="24"/>
        </w:rPr>
        <w:t xml:space="preserve"> capaz de afastar sua responsabilidade sob o enfoque do</w:t>
      </w:r>
      <w:r w:rsidR="00087ABD">
        <w:rPr>
          <w:szCs w:val="24"/>
        </w:rPr>
        <w:t>s</w:t>
      </w:r>
      <w:r>
        <w:rPr>
          <w:szCs w:val="24"/>
        </w:rPr>
        <w:t xml:space="preserve"> direito</w:t>
      </w:r>
      <w:r w:rsidR="00087ABD">
        <w:rPr>
          <w:szCs w:val="24"/>
        </w:rPr>
        <w:t>s</w:t>
      </w:r>
      <w:r>
        <w:rPr>
          <w:szCs w:val="24"/>
        </w:rPr>
        <w:t xml:space="preserve"> administrativo</w:t>
      </w:r>
      <w:r w:rsidR="00821209">
        <w:rPr>
          <w:szCs w:val="24"/>
        </w:rPr>
        <w:t xml:space="preserve"> e</w:t>
      </w:r>
      <w:r>
        <w:rPr>
          <w:szCs w:val="24"/>
        </w:rPr>
        <w:t xml:space="preserve"> civil, </w:t>
      </w:r>
      <w:r w:rsidR="00087ABD">
        <w:rPr>
          <w:szCs w:val="24"/>
        </w:rPr>
        <w:t xml:space="preserve">os quais são </w:t>
      </w:r>
      <w:proofErr w:type="gramStart"/>
      <w:r w:rsidR="00087ABD">
        <w:rPr>
          <w:szCs w:val="24"/>
        </w:rPr>
        <w:t>a</w:t>
      </w:r>
      <w:proofErr w:type="gramEnd"/>
      <w:r w:rsidR="00087ABD">
        <w:rPr>
          <w:szCs w:val="24"/>
        </w:rPr>
        <w:t xml:space="preserve"> base da responsabilização no âmbito do Tribunal de Contas da União.</w:t>
      </w:r>
    </w:p>
    <w:p w:rsidR="00127E25" w:rsidRDefault="00821209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2</w:t>
      </w:r>
      <w:r w:rsidR="00827F0E">
        <w:rPr>
          <w:szCs w:val="24"/>
        </w:rPr>
        <w:t>9</w:t>
      </w:r>
      <w:r>
        <w:rPr>
          <w:szCs w:val="24"/>
        </w:rPr>
        <w:t>.</w:t>
      </w:r>
      <w:r>
        <w:rPr>
          <w:szCs w:val="24"/>
        </w:rPr>
        <w:tab/>
      </w:r>
      <w:r w:rsidR="00127E25">
        <w:rPr>
          <w:b/>
          <w:szCs w:val="24"/>
        </w:rPr>
        <w:t xml:space="preserve">Argumento: </w:t>
      </w:r>
      <w:r w:rsidR="00127E25">
        <w:rPr>
          <w:szCs w:val="24"/>
        </w:rPr>
        <w:t>evidenciou-se no processo judicial a ausência de indícios de que a Recorrente tenha agido com unidade de desígnios e comunhão múltipla de esforços com o ex-</w:t>
      </w:r>
      <w:r w:rsidR="00B96806">
        <w:rPr>
          <w:szCs w:val="24"/>
        </w:rPr>
        <w:t>prefeito e o ex-secretário de finanças, a fim de desviar recursos públicos.</w:t>
      </w:r>
      <w:r w:rsidR="00127E25">
        <w:rPr>
          <w:szCs w:val="24"/>
        </w:rPr>
        <w:t xml:space="preserve"> </w:t>
      </w:r>
    </w:p>
    <w:p w:rsidR="00A15543" w:rsidRDefault="00A15543" w:rsidP="0099038A">
      <w:pPr>
        <w:tabs>
          <w:tab w:val="left" w:pos="1134"/>
        </w:tabs>
        <w:spacing w:after="120"/>
        <w:rPr>
          <w:szCs w:val="24"/>
        </w:rPr>
      </w:pPr>
    </w:p>
    <w:p w:rsidR="00962C78" w:rsidRDefault="00827F0E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30</w:t>
      </w:r>
      <w:r w:rsidR="00A15543">
        <w:rPr>
          <w:szCs w:val="24"/>
        </w:rPr>
        <w:t>.</w:t>
      </w:r>
      <w:r w:rsidR="00A15543">
        <w:rPr>
          <w:szCs w:val="24"/>
        </w:rPr>
        <w:tab/>
      </w:r>
      <w:r w:rsidR="00A15543">
        <w:rPr>
          <w:b/>
          <w:szCs w:val="24"/>
        </w:rPr>
        <w:t xml:space="preserve">Análise: </w:t>
      </w:r>
      <w:r w:rsidR="00A15543">
        <w:rPr>
          <w:szCs w:val="24"/>
        </w:rPr>
        <w:t xml:space="preserve">novamente, a Recorrente utilizou alegações de cunho </w:t>
      </w:r>
      <w:proofErr w:type="gramStart"/>
      <w:r w:rsidR="00A15543">
        <w:rPr>
          <w:szCs w:val="24"/>
        </w:rPr>
        <w:t>penal</w:t>
      </w:r>
      <w:r w:rsidR="00962C78">
        <w:rPr>
          <w:szCs w:val="24"/>
        </w:rPr>
        <w:t xml:space="preserve"> não aplicáveis</w:t>
      </w:r>
      <w:proofErr w:type="gramEnd"/>
      <w:r w:rsidR="00962C78">
        <w:rPr>
          <w:szCs w:val="24"/>
        </w:rPr>
        <w:t xml:space="preserve"> ao processo de contas</w:t>
      </w:r>
      <w:r w:rsidR="00A15543">
        <w:rPr>
          <w:szCs w:val="24"/>
        </w:rPr>
        <w:t xml:space="preserve">. </w:t>
      </w:r>
    </w:p>
    <w:p w:rsidR="00127E25" w:rsidRDefault="00827F0E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31</w:t>
      </w:r>
      <w:r w:rsidR="00B96806">
        <w:rPr>
          <w:szCs w:val="24"/>
        </w:rPr>
        <w:t>.</w:t>
      </w:r>
      <w:r w:rsidR="00B96806">
        <w:rPr>
          <w:szCs w:val="24"/>
        </w:rPr>
        <w:tab/>
      </w:r>
      <w:r w:rsidR="00B96806">
        <w:rPr>
          <w:b/>
          <w:szCs w:val="24"/>
        </w:rPr>
        <w:t xml:space="preserve">Argumento: </w:t>
      </w:r>
      <w:r w:rsidR="00B96806">
        <w:rPr>
          <w:szCs w:val="24"/>
        </w:rPr>
        <w:t xml:space="preserve">afirma que ficou claro na ação judicial que o ex-prefeito Valdo Viana Barbosa e o ex-secretário de finanças Alberto Leitão </w:t>
      </w:r>
      <w:r>
        <w:rPr>
          <w:szCs w:val="24"/>
        </w:rPr>
        <w:t xml:space="preserve">foram </w:t>
      </w:r>
      <w:proofErr w:type="gramStart"/>
      <w:r>
        <w:rPr>
          <w:szCs w:val="24"/>
        </w:rPr>
        <w:t>as</w:t>
      </w:r>
      <w:proofErr w:type="gramEnd"/>
      <w:r>
        <w:rPr>
          <w:szCs w:val="24"/>
        </w:rPr>
        <w:t xml:space="preserve"> pessoas </w:t>
      </w:r>
      <w:r w:rsidR="00B96806">
        <w:rPr>
          <w:szCs w:val="24"/>
        </w:rPr>
        <w:t>que se apropriaram dos recursos do convênio.</w:t>
      </w:r>
    </w:p>
    <w:p w:rsidR="00962C78" w:rsidRPr="00A15543" w:rsidRDefault="00962C78" w:rsidP="00962C78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3</w:t>
      </w:r>
      <w:r w:rsidR="00827F0E">
        <w:rPr>
          <w:szCs w:val="24"/>
        </w:rPr>
        <w:t>2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>Análise:</w:t>
      </w:r>
      <w:r w:rsidRPr="00962C78">
        <w:rPr>
          <w:szCs w:val="24"/>
        </w:rPr>
        <w:t xml:space="preserve"> </w:t>
      </w:r>
      <w:r>
        <w:rPr>
          <w:szCs w:val="24"/>
        </w:rPr>
        <w:t>ainda que a empresa não tenha se locupletado desses recursos sua conduta foi determinante para que ocorresse a malversação. Ou seja, pode-se asseverar que sem a conduta da contratada o desvio não teria acontecido.</w:t>
      </w:r>
      <w:r w:rsidR="00827F0E">
        <w:rPr>
          <w:szCs w:val="24"/>
        </w:rPr>
        <w:t xml:space="preserve"> Além disso, como já dito, a contratada tinha obrigação moral e legal de revelar às autoridades competentes a fraude perpetrada pelo ex-prefeito, conforme se depreende dos princípios da licitação e da Administração Pública.</w:t>
      </w:r>
    </w:p>
    <w:p w:rsidR="00B96806" w:rsidRDefault="00962C78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3</w:t>
      </w:r>
      <w:r w:rsidR="00827F0E">
        <w:rPr>
          <w:szCs w:val="24"/>
        </w:rPr>
        <w:t>3</w:t>
      </w:r>
      <w:r w:rsidR="00B96806">
        <w:rPr>
          <w:szCs w:val="24"/>
        </w:rPr>
        <w:t>.</w:t>
      </w:r>
      <w:r w:rsidR="00B96806">
        <w:rPr>
          <w:szCs w:val="24"/>
        </w:rPr>
        <w:tab/>
      </w:r>
      <w:r w:rsidR="00B96806">
        <w:rPr>
          <w:b/>
          <w:szCs w:val="24"/>
        </w:rPr>
        <w:t xml:space="preserve">Argumento: </w:t>
      </w:r>
      <w:r w:rsidR="00B96806">
        <w:rPr>
          <w:szCs w:val="24"/>
        </w:rPr>
        <w:t>sobre a emissão de notas fiscais usadas na prestação de contas, considera que houve erro determinado por terceiro.</w:t>
      </w:r>
    </w:p>
    <w:p w:rsidR="00962C78" w:rsidRPr="00962C78" w:rsidRDefault="00962C78" w:rsidP="0099038A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3</w:t>
      </w:r>
      <w:r w:rsidR="00827F0E">
        <w:rPr>
          <w:szCs w:val="24"/>
        </w:rPr>
        <w:t>4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>
        <w:rPr>
          <w:szCs w:val="24"/>
        </w:rPr>
        <w:t xml:space="preserve">essa alegação não procede, pois como se verá a Recorrente admitiu ter emitido as notas para atender a solicitação do ex-prefeito e com vistas </w:t>
      </w:r>
      <w:r w:rsidR="00C96D6D">
        <w:rPr>
          <w:szCs w:val="24"/>
        </w:rPr>
        <w:t>à</w:t>
      </w:r>
      <w:r>
        <w:rPr>
          <w:szCs w:val="24"/>
        </w:rPr>
        <w:t xml:space="preserve"> obtenção de vantagens.</w:t>
      </w:r>
    </w:p>
    <w:p w:rsidR="00EC6D48" w:rsidRDefault="00962C78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3</w:t>
      </w:r>
      <w:r w:rsidR="00827F0E">
        <w:rPr>
          <w:szCs w:val="24"/>
        </w:rPr>
        <w:t>5</w:t>
      </w:r>
      <w:r w:rsidR="00B96806">
        <w:rPr>
          <w:szCs w:val="24"/>
        </w:rPr>
        <w:t>.</w:t>
      </w:r>
      <w:r w:rsidR="00B96806">
        <w:rPr>
          <w:szCs w:val="24"/>
        </w:rPr>
        <w:tab/>
      </w:r>
      <w:r w:rsidR="00B96806">
        <w:rPr>
          <w:b/>
          <w:szCs w:val="24"/>
        </w:rPr>
        <w:t xml:space="preserve">Argumento: </w:t>
      </w:r>
      <w:r w:rsidR="00B96806">
        <w:rPr>
          <w:szCs w:val="24"/>
        </w:rPr>
        <w:t>reitera a inexistência de dolo amparada na tese de “erro plenamente justificado pelas circunstâncias</w:t>
      </w:r>
      <w:r w:rsidR="00EC6D48">
        <w:rPr>
          <w:szCs w:val="24"/>
        </w:rPr>
        <w:t>”</w:t>
      </w:r>
      <w:r w:rsidR="00B96806">
        <w:rPr>
          <w:szCs w:val="24"/>
        </w:rPr>
        <w:t>,</w:t>
      </w:r>
      <w:r w:rsidR="00EC6D48">
        <w:rPr>
          <w:szCs w:val="24"/>
        </w:rPr>
        <w:t xml:space="preserve"> pois foi coagido a aceitar a proposta do ex-</w:t>
      </w:r>
      <w:r w:rsidR="004568CC">
        <w:rPr>
          <w:szCs w:val="24"/>
        </w:rPr>
        <w:t>p</w:t>
      </w:r>
      <w:r w:rsidR="00EC6D48">
        <w:rPr>
          <w:szCs w:val="24"/>
        </w:rPr>
        <w:t>refeito</w:t>
      </w:r>
      <w:r w:rsidR="004568CC">
        <w:rPr>
          <w:szCs w:val="24"/>
        </w:rPr>
        <w:t xml:space="preserve"> Valdo Viana</w:t>
      </w:r>
      <w:r w:rsidR="00EC6D48">
        <w:rPr>
          <w:szCs w:val="24"/>
        </w:rPr>
        <w:t>, além de acreditar que a obra estava sendo executada pela prefeitura.</w:t>
      </w:r>
      <w:r w:rsidR="00B96806">
        <w:rPr>
          <w:szCs w:val="24"/>
        </w:rPr>
        <w:t xml:space="preserve"> </w:t>
      </w:r>
    </w:p>
    <w:p w:rsidR="00962C78" w:rsidRPr="00962C78" w:rsidRDefault="00962C78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3</w:t>
      </w:r>
      <w:r w:rsidR="00827F0E">
        <w:rPr>
          <w:szCs w:val="24"/>
        </w:rPr>
        <w:t>6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>
        <w:rPr>
          <w:szCs w:val="24"/>
        </w:rPr>
        <w:t>não há que se falar em erro, na medida em que o ex-prefeito informou-lhe abertamente que a execução das obras caberia a outrem, bem como o correspondente recebimento dos recursos.</w:t>
      </w:r>
    </w:p>
    <w:p w:rsidR="00EC6D48" w:rsidRDefault="00EC6D48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3</w:t>
      </w:r>
      <w:r w:rsidR="00827F0E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Argumento: </w:t>
      </w:r>
      <w:r>
        <w:rPr>
          <w:szCs w:val="24"/>
        </w:rPr>
        <w:t xml:space="preserve">alega que não </w:t>
      </w:r>
      <w:r w:rsidR="00962C78">
        <w:rPr>
          <w:szCs w:val="24"/>
        </w:rPr>
        <w:t>incorreu</w:t>
      </w:r>
      <w:r>
        <w:rPr>
          <w:szCs w:val="24"/>
        </w:rPr>
        <w:t xml:space="preserve"> em falsidade ideológica, em virtude da indução em erro a que foi submetid</w:t>
      </w:r>
      <w:r w:rsidR="00EF5AF8">
        <w:rPr>
          <w:szCs w:val="24"/>
        </w:rPr>
        <w:t>a</w:t>
      </w:r>
      <w:r>
        <w:rPr>
          <w:szCs w:val="24"/>
        </w:rPr>
        <w:t>, que fez com que culposamente apresentasse os documentos questionados na prestação de contas. Aduz que não há nos autos qualquer documento que afirme que a recorrente executou a obra. O que consta deste processo é um documento de aceitação definitiva obra, firmado pel</w:t>
      </w:r>
      <w:r w:rsidR="00513AE6">
        <w:rPr>
          <w:szCs w:val="24"/>
        </w:rPr>
        <w:t xml:space="preserve">o </w:t>
      </w:r>
      <w:proofErr w:type="spellStart"/>
      <w:r w:rsidR="00513AE6">
        <w:rPr>
          <w:szCs w:val="24"/>
        </w:rPr>
        <w:t>ex-gestor</w:t>
      </w:r>
      <w:proofErr w:type="spellEnd"/>
      <w:r>
        <w:rPr>
          <w:szCs w:val="24"/>
        </w:rPr>
        <w:t>.</w:t>
      </w:r>
    </w:p>
    <w:p w:rsidR="00EF5AF8" w:rsidRPr="00EF5AF8" w:rsidRDefault="00EF5AF8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3</w:t>
      </w:r>
      <w:r w:rsidR="00827F0E">
        <w:rPr>
          <w:szCs w:val="24"/>
        </w:rPr>
        <w:t>8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 w:rsidR="00F45812">
        <w:rPr>
          <w:szCs w:val="24"/>
        </w:rPr>
        <w:t>as informações da contratada</w:t>
      </w:r>
      <w:r>
        <w:rPr>
          <w:szCs w:val="24"/>
        </w:rPr>
        <w:t xml:space="preserve"> </w:t>
      </w:r>
      <w:r w:rsidR="00F45812">
        <w:rPr>
          <w:szCs w:val="24"/>
        </w:rPr>
        <w:t>de que</w:t>
      </w:r>
      <w:r w:rsidR="00827F0E">
        <w:rPr>
          <w:szCs w:val="24"/>
        </w:rPr>
        <w:t xml:space="preserve"> </w:t>
      </w:r>
      <w:r>
        <w:rPr>
          <w:szCs w:val="24"/>
        </w:rPr>
        <w:t>apresent</w:t>
      </w:r>
      <w:r w:rsidR="00F45812">
        <w:rPr>
          <w:szCs w:val="24"/>
        </w:rPr>
        <w:t>ou</w:t>
      </w:r>
      <w:r>
        <w:rPr>
          <w:szCs w:val="24"/>
        </w:rPr>
        <w:t xml:space="preserve"> notas fiscais relativas a obras </w:t>
      </w:r>
      <w:r w:rsidR="00F45812">
        <w:rPr>
          <w:szCs w:val="24"/>
        </w:rPr>
        <w:t xml:space="preserve">por ela </w:t>
      </w:r>
      <w:r>
        <w:rPr>
          <w:szCs w:val="24"/>
        </w:rPr>
        <w:t>não execut</w:t>
      </w:r>
      <w:r w:rsidR="00F45812">
        <w:rPr>
          <w:szCs w:val="24"/>
        </w:rPr>
        <w:t>adas</w:t>
      </w:r>
      <w:r>
        <w:rPr>
          <w:szCs w:val="24"/>
        </w:rPr>
        <w:t xml:space="preserve"> </w:t>
      </w:r>
      <w:r w:rsidR="00F45812">
        <w:rPr>
          <w:szCs w:val="24"/>
        </w:rPr>
        <w:t xml:space="preserve">representam a </w:t>
      </w:r>
      <w:r>
        <w:rPr>
          <w:szCs w:val="24"/>
        </w:rPr>
        <w:t>confirma</w:t>
      </w:r>
      <w:r w:rsidR="00F45812">
        <w:rPr>
          <w:szCs w:val="24"/>
        </w:rPr>
        <w:t>ção</w:t>
      </w:r>
      <w:r>
        <w:rPr>
          <w:szCs w:val="24"/>
        </w:rPr>
        <w:t xml:space="preserve"> pela própria Recorrente </w:t>
      </w:r>
      <w:r w:rsidR="00F45812">
        <w:rPr>
          <w:szCs w:val="24"/>
        </w:rPr>
        <w:t>d</w:t>
      </w:r>
      <w:r>
        <w:rPr>
          <w:szCs w:val="24"/>
        </w:rPr>
        <w:t>a falsidade dessas declarações.</w:t>
      </w:r>
      <w:r w:rsidR="00513AE6">
        <w:rPr>
          <w:szCs w:val="24"/>
        </w:rPr>
        <w:t xml:space="preserve"> A relação de pagamentos, ademais, foi assinada pela recorrente na qualidade de “Responsável pela execução” (p. 119, peça </w:t>
      </w:r>
      <w:proofErr w:type="gramStart"/>
      <w:r w:rsidR="00513AE6">
        <w:rPr>
          <w:szCs w:val="24"/>
        </w:rPr>
        <w:t>1</w:t>
      </w:r>
      <w:proofErr w:type="gramEnd"/>
      <w:r w:rsidR="00513AE6">
        <w:rPr>
          <w:szCs w:val="24"/>
        </w:rPr>
        <w:t>).</w:t>
      </w:r>
    </w:p>
    <w:p w:rsidR="00EC6D48" w:rsidRDefault="00EC6D48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3</w:t>
      </w:r>
      <w:r w:rsidR="00827F0E">
        <w:rPr>
          <w:szCs w:val="24"/>
        </w:rPr>
        <w:t>9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Argumento: </w:t>
      </w:r>
      <w:r>
        <w:rPr>
          <w:szCs w:val="24"/>
        </w:rPr>
        <w:t>afirma que a figura do erro determinado por terceiro, a princípio, pode ser esp</w:t>
      </w:r>
      <w:r w:rsidR="00CF1368">
        <w:rPr>
          <w:szCs w:val="24"/>
        </w:rPr>
        <w:t xml:space="preserve">écie tanto de erro de tipo – como no caso em apreço - </w:t>
      </w:r>
      <w:r>
        <w:rPr>
          <w:szCs w:val="24"/>
        </w:rPr>
        <w:t>quanto de erro de proibição</w:t>
      </w:r>
      <w:r w:rsidR="00CF1368">
        <w:rPr>
          <w:szCs w:val="24"/>
        </w:rPr>
        <w:t xml:space="preserve"> (art. 20, §2º, do CP). Transcreve esse dispositivo e estabelece a diferenciação entre esses institutos.</w:t>
      </w:r>
    </w:p>
    <w:p w:rsidR="00CF1368" w:rsidRDefault="00F45812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40</w:t>
      </w:r>
      <w:r w:rsidR="00CF1368">
        <w:rPr>
          <w:szCs w:val="24"/>
        </w:rPr>
        <w:t>.</w:t>
      </w:r>
      <w:r w:rsidR="00CF1368">
        <w:rPr>
          <w:szCs w:val="24"/>
        </w:rPr>
        <w:tab/>
      </w:r>
      <w:r w:rsidR="00EF5AF8">
        <w:rPr>
          <w:szCs w:val="24"/>
        </w:rPr>
        <w:t>E</w:t>
      </w:r>
      <w:r w:rsidR="00CF1368">
        <w:rPr>
          <w:szCs w:val="24"/>
        </w:rPr>
        <w:t>xplica que teve uma falsa percepção da realidade ao aceitar as condições impostas pelo ex-prefeito. Ou seja, foi induzida a erro.</w:t>
      </w:r>
    </w:p>
    <w:p w:rsidR="00EF5AF8" w:rsidRPr="00EF5AF8" w:rsidRDefault="00F45812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41</w:t>
      </w:r>
      <w:r w:rsidR="00EF5AF8">
        <w:rPr>
          <w:szCs w:val="24"/>
        </w:rPr>
        <w:t>.</w:t>
      </w:r>
      <w:r w:rsidR="00EF5AF8">
        <w:rPr>
          <w:szCs w:val="24"/>
        </w:rPr>
        <w:tab/>
      </w:r>
      <w:r w:rsidR="00EF5AF8">
        <w:rPr>
          <w:b/>
          <w:szCs w:val="24"/>
        </w:rPr>
        <w:t xml:space="preserve">Análise: </w:t>
      </w:r>
      <w:r w:rsidR="00EF5AF8">
        <w:rPr>
          <w:szCs w:val="24"/>
        </w:rPr>
        <w:t xml:space="preserve">alegações de índole </w:t>
      </w:r>
      <w:proofErr w:type="gramStart"/>
      <w:r w:rsidR="00EF5AF8">
        <w:rPr>
          <w:szCs w:val="24"/>
        </w:rPr>
        <w:t>penal não aplicáveis</w:t>
      </w:r>
      <w:proofErr w:type="gramEnd"/>
      <w:r w:rsidR="00EF5AF8">
        <w:rPr>
          <w:szCs w:val="24"/>
        </w:rPr>
        <w:t xml:space="preserve"> ao processo no âmbito do TCU.</w:t>
      </w:r>
      <w:r>
        <w:rPr>
          <w:szCs w:val="24"/>
        </w:rPr>
        <w:t xml:space="preserve"> De qualquer maneira, o argumento seguinte revela a motivação da empresa ao aceitar a imposição do Sr. Valdo Viana.</w:t>
      </w:r>
    </w:p>
    <w:p w:rsidR="00425424" w:rsidRDefault="00EF5AF8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4</w:t>
      </w:r>
      <w:r w:rsidR="00F45812">
        <w:rPr>
          <w:szCs w:val="24"/>
        </w:rPr>
        <w:t>2.</w:t>
      </w:r>
      <w:r w:rsidR="00CF1368">
        <w:rPr>
          <w:szCs w:val="24"/>
        </w:rPr>
        <w:tab/>
      </w:r>
      <w:r w:rsidR="00CF1368">
        <w:rPr>
          <w:b/>
          <w:szCs w:val="24"/>
        </w:rPr>
        <w:t xml:space="preserve">Argumento: </w:t>
      </w:r>
      <w:r w:rsidR="00B81EA1">
        <w:rPr>
          <w:szCs w:val="24"/>
        </w:rPr>
        <w:t xml:space="preserve">informa que </w:t>
      </w:r>
      <w:r w:rsidR="00425424">
        <w:rPr>
          <w:szCs w:val="24"/>
        </w:rPr>
        <w:t xml:space="preserve">se </w:t>
      </w:r>
      <w:r w:rsidR="00B81EA1">
        <w:rPr>
          <w:szCs w:val="24"/>
        </w:rPr>
        <w:t xml:space="preserve">viu forçado a aceitar </w:t>
      </w:r>
      <w:r w:rsidR="00425424">
        <w:rPr>
          <w:szCs w:val="24"/>
        </w:rPr>
        <w:t xml:space="preserve">a imposição do ex-prefeito porque queria manter um bom relacionamento com a municipalidade, </w:t>
      </w:r>
      <w:r w:rsidR="004568EE">
        <w:rPr>
          <w:szCs w:val="24"/>
        </w:rPr>
        <w:t>visando</w:t>
      </w:r>
      <w:r w:rsidR="00425424">
        <w:rPr>
          <w:szCs w:val="24"/>
        </w:rPr>
        <w:t xml:space="preserve"> eventuais futuras contratações.</w:t>
      </w:r>
    </w:p>
    <w:p w:rsidR="00EF5AF8" w:rsidRPr="00EF5AF8" w:rsidRDefault="00EF5AF8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lastRenderedPageBreak/>
        <w:t>4</w:t>
      </w:r>
      <w:r w:rsidR="004568EE">
        <w:rPr>
          <w:szCs w:val="24"/>
        </w:rPr>
        <w:t>3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>
        <w:rPr>
          <w:szCs w:val="24"/>
        </w:rPr>
        <w:t xml:space="preserve">essa alegação milita desfavoravelmente à Recorrente e deve ser tida como confissão e reconhecimento da participação no ato lesivo ao patrimônio público. </w:t>
      </w:r>
    </w:p>
    <w:p w:rsidR="00CF1368" w:rsidRDefault="00EF5AF8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4</w:t>
      </w:r>
      <w:r w:rsidR="004568EE">
        <w:rPr>
          <w:szCs w:val="24"/>
        </w:rPr>
        <w:t>4</w:t>
      </w:r>
      <w:r w:rsidR="00CF1368">
        <w:rPr>
          <w:szCs w:val="24"/>
        </w:rPr>
        <w:t>.</w:t>
      </w:r>
      <w:r w:rsidR="00CF1368">
        <w:rPr>
          <w:szCs w:val="24"/>
        </w:rPr>
        <w:tab/>
      </w:r>
      <w:r w:rsidR="00CF1368">
        <w:rPr>
          <w:b/>
          <w:szCs w:val="24"/>
        </w:rPr>
        <w:t xml:space="preserve">Argumento: </w:t>
      </w:r>
      <w:r w:rsidR="004568CC">
        <w:rPr>
          <w:szCs w:val="24"/>
        </w:rPr>
        <w:t>transcreve trecho do depoimento à Justiça no qual o ex-</w:t>
      </w:r>
      <w:r w:rsidR="00BE7A65">
        <w:rPr>
          <w:szCs w:val="24"/>
        </w:rPr>
        <w:t>gestor</w:t>
      </w:r>
      <w:r w:rsidR="004568CC">
        <w:rPr>
          <w:szCs w:val="24"/>
        </w:rPr>
        <w:t xml:space="preserve"> admite sua responsabilidade pela não execução do objeto do Convênio 322/2002 (p. 25, peça 47).</w:t>
      </w:r>
    </w:p>
    <w:p w:rsidR="00EF5AF8" w:rsidRPr="00EF5AF8" w:rsidRDefault="00EF5AF8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4</w:t>
      </w:r>
      <w:r w:rsidR="004568EE">
        <w:rPr>
          <w:szCs w:val="24"/>
        </w:rPr>
        <w:t>5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>
        <w:rPr>
          <w:szCs w:val="24"/>
        </w:rPr>
        <w:t>a responsabilidade do ex-prefeito já foi apurada nestes autos.</w:t>
      </w:r>
    </w:p>
    <w:p w:rsidR="004568CC" w:rsidRDefault="00EF5AF8" w:rsidP="00844831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4</w:t>
      </w:r>
      <w:r w:rsidR="004568EE">
        <w:rPr>
          <w:szCs w:val="24"/>
        </w:rPr>
        <w:t>6</w:t>
      </w:r>
      <w:r w:rsidR="004568CC">
        <w:rPr>
          <w:szCs w:val="24"/>
        </w:rPr>
        <w:t>.</w:t>
      </w:r>
      <w:r w:rsidR="004568CC">
        <w:rPr>
          <w:szCs w:val="24"/>
        </w:rPr>
        <w:tab/>
      </w:r>
      <w:r w:rsidR="004568CC">
        <w:rPr>
          <w:b/>
          <w:szCs w:val="24"/>
        </w:rPr>
        <w:t xml:space="preserve">Argumento: </w:t>
      </w:r>
      <w:r w:rsidR="004568CC">
        <w:rPr>
          <w:szCs w:val="24"/>
        </w:rPr>
        <w:t xml:space="preserve">pondera que no âmbito </w:t>
      </w:r>
      <w:proofErr w:type="gramStart"/>
      <w:r w:rsidR="004568CC">
        <w:rPr>
          <w:szCs w:val="24"/>
        </w:rPr>
        <w:t>do concedente</w:t>
      </w:r>
      <w:proofErr w:type="gramEnd"/>
      <w:r w:rsidR="004568CC">
        <w:rPr>
          <w:szCs w:val="24"/>
        </w:rPr>
        <w:t xml:space="preserve"> não lhe foi atribuída qualquer responsabilidade pelos fatos tratados nesta TCE.</w:t>
      </w:r>
    </w:p>
    <w:p w:rsidR="00D4708E" w:rsidRPr="00820F2F" w:rsidRDefault="00D4708E" w:rsidP="00D4708E">
      <w:pPr>
        <w:tabs>
          <w:tab w:val="left" w:pos="1134"/>
        </w:tabs>
        <w:spacing w:after="120"/>
      </w:pPr>
      <w:r>
        <w:rPr>
          <w:szCs w:val="24"/>
        </w:rPr>
        <w:t>4</w:t>
      </w:r>
      <w:r w:rsidR="004568EE"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 w:rsidRPr="00D4708E">
        <w:rPr>
          <w:szCs w:val="24"/>
        </w:rPr>
        <w:t>a</w:t>
      </w:r>
      <w:r w:rsidRPr="00820F2F">
        <w:t>s manifestações do controle interno não vinculam</w:t>
      </w:r>
      <w:r>
        <w:rPr>
          <w:szCs w:val="24"/>
        </w:rPr>
        <w:t xml:space="preserve"> o Tribunal de Contas da União que, conforme se depreende da CRFB/1988, </w:t>
      </w:r>
      <w:r w:rsidRPr="00820F2F">
        <w:t>não está obrigado a</w:t>
      </w:r>
      <w:r>
        <w:t>dotar</w:t>
      </w:r>
      <w:r w:rsidRPr="00820F2F">
        <w:t xml:space="preserve"> entendimento de outros órgãos da Administração Pública</w:t>
      </w:r>
      <w:r>
        <w:t xml:space="preserve">. O TCU tem prerrogativa de </w:t>
      </w:r>
      <w:r w:rsidR="004568EE">
        <w:t>decidir</w:t>
      </w:r>
      <w:r w:rsidRPr="00820F2F">
        <w:t xml:space="preserve"> </w:t>
      </w:r>
      <w:r w:rsidR="004568EE">
        <w:t xml:space="preserve">em sentido </w:t>
      </w:r>
      <w:r>
        <w:t>divers</w:t>
      </w:r>
      <w:r w:rsidR="004568EE">
        <w:t>o</w:t>
      </w:r>
      <w:r w:rsidRPr="00820F2F">
        <w:t xml:space="preserve">, </w:t>
      </w:r>
      <w:r>
        <w:t>bastando que o faça fundamentadamente</w:t>
      </w:r>
      <w:r w:rsidRPr="00820F2F">
        <w:t xml:space="preserve">. Como </w:t>
      </w:r>
      <w:r>
        <w:t>consta no</w:t>
      </w:r>
      <w:r w:rsidRPr="00820F2F">
        <w:t xml:space="preserve"> Acórdão 2</w:t>
      </w:r>
      <w:r>
        <w:t>.</w:t>
      </w:r>
      <w:r w:rsidRPr="00820F2F">
        <w:t>105/2009–TCU</w:t>
      </w:r>
      <w:r w:rsidRPr="00820F2F">
        <w:noBreakHyphen/>
        <w:t>1ª Câmara, “</w:t>
      </w:r>
      <w:r w:rsidRPr="00820F2F">
        <w:rPr>
          <w:b/>
          <w:i/>
        </w:rPr>
        <w:t>O TCU possui atribuição constitucional para realizar de forma autônoma e independente a apreciação da regularidade das contas dos gestores de bens e direitos da União”</w:t>
      </w:r>
      <w:r w:rsidRPr="00820F2F">
        <w:t>.</w:t>
      </w:r>
      <w:r>
        <w:t xml:space="preserve"> </w:t>
      </w:r>
      <w:r w:rsidRPr="00820F2F">
        <w:t xml:space="preserve">Foram </w:t>
      </w:r>
      <w:r>
        <w:t xml:space="preserve">também </w:t>
      </w:r>
      <w:r w:rsidRPr="00820F2F">
        <w:t>ness</w:t>
      </w:r>
      <w:r w:rsidR="004568EE">
        <w:t>a direção</w:t>
      </w:r>
      <w:r w:rsidRPr="00820F2F">
        <w:t xml:space="preserve"> os seguintes </w:t>
      </w:r>
      <w:r>
        <w:t>acórdãos</w:t>
      </w:r>
      <w:r w:rsidRPr="00820F2F">
        <w:t xml:space="preserve"> desta Corte: 2</w:t>
      </w:r>
      <w:r>
        <w:t>.</w:t>
      </w:r>
      <w:r w:rsidRPr="00820F2F">
        <w:t>331/2008-1ª Câmara, 892/2008-2ª Câmara</w:t>
      </w:r>
      <w:r>
        <w:t xml:space="preserve"> e </w:t>
      </w:r>
      <w:r w:rsidRPr="00820F2F">
        <w:t>383/2009-Plenário.</w:t>
      </w:r>
    </w:p>
    <w:p w:rsidR="00D4708E" w:rsidRPr="00820F2F" w:rsidRDefault="00D4708E" w:rsidP="00D4708E">
      <w:pPr>
        <w:pStyle w:val="Corpodetexto"/>
        <w:tabs>
          <w:tab w:val="num" w:pos="1134"/>
        </w:tabs>
        <w:spacing w:after="120"/>
      </w:pPr>
      <w:r>
        <w:t>4</w:t>
      </w:r>
      <w:r w:rsidR="004568EE">
        <w:t>8</w:t>
      </w:r>
      <w:r>
        <w:t>.</w:t>
      </w:r>
      <w:r>
        <w:tab/>
      </w:r>
      <w:r w:rsidRPr="00820F2F">
        <w:t>A não subordinação das decisões do TCU aos pareceres do controle interno foi abordada nos seguintes termos no Acórdão 212/2002-TCU-2ª Câmara:</w:t>
      </w:r>
    </w:p>
    <w:p w:rsidR="00D4708E" w:rsidRPr="00820F2F" w:rsidRDefault="00D4708E" w:rsidP="00D4708E">
      <w:pPr>
        <w:pStyle w:val="Corpodetexto"/>
        <w:spacing w:after="120"/>
        <w:ind w:left="1134" w:firstLine="1134"/>
        <w:rPr>
          <w:i/>
        </w:rPr>
      </w:pPr>
      <w:r w:rsidRPr="00820F2F">
        <w:rPr>
          <w:i/>
        </w:rPr>
        <w:t>“</w:t>
      </w:r>
      <w:proofErr w:type="gramStart"/>
      <w:r w:rsidRPr="00820F2F">
        <w:rPr>
          <w:i/>
        </w:rPr>
        <w:t>Outrossim</w:t>
      </w:r>
      <w:proofErr w:type="gramEnd"/>
      <w:r w:rsidRPr="00820F2F">
        <w:rPr>
          <w:i/>
        </w:rPr>
        <w:t>, a aprovação de uma prestação de contas pelo Sistema de Controle Interno não afasta a atribuição constitucional deste Tribunal, atinente à verificação da regularidade da utilização de recursos públicos federais. Esta Corte de Contas não está adstrita ao juízo firmado por aquela unidade, possuindo ampla capacidade de deliberação, e exercendo, precipuamente, a privativa jurisdição sobre os responsáveis pelos valores repassados pela União, mediante convênio, acordo, ajuste ou outros instrumentos congêneres, a Estado, ao Distrito Federal ou a Município, ex vi do disposto no art. 71, inciso VI, da Constituição Federal/1988.”</w:t>
      </w:r>
    </w:p>
    <w:p w:rsidR="004568CC" w:rsidRDefault="004568CC" w:rsidP="004568CC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4</w:t>
      </w:r>
      <w:r w:rsidR="004568EE">
        <w:rPr>
          <w:szCs w:val="24"/>
        </w:rPr>
        <w:t>9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Argumento: </w:t>
      </w:r>
      <w:r>
        <w:rPr>
          <w:szCs w:val="24"/>
        </w:rPr>
        <w:t xml:space="preserve">menciona os procedimentos adotados pela </w:t>
      </w:r>
      <w:proofErr w:type="spellStart"/>
      <w:r>
        <w:rPr>
          <w:szCs w:val="24"/>
        </w:rPr>
        <w:t>Secex</w:t>
      </w:r>
      <w:proofErr w:type="spellEnd"/>
      <w:r>
        <w:rPr>
          <w:szCs w:val="24"/>
        </w:rPr>
        <w:t>/TO tendentes a sua responsabilização, entre eles a proposta de citação.</w:t>
      </w:r>
    </w:p>
    <w:p w:rsidR="00D4708E" w:rsidRPr="00D4708E" w:rsidRDefault="004568EE" w:rsidP="004568CC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50</w:t>
      </w:r>
      <w:r w:rsidR="00D4708E">
        <w:rPr>
          <w:szCs w:val="24"/>
        </w:rPr>
        <w:t>.</w:t>
      </w:r>
      <w:r w:rsidR="00D4708E">
        <w:rPr>
          <w:szCs w:val="24"/>
        </w:rPr>
        <w:tab/>
      </w:r>
      <w:r w:rsidR="00D4708E">
        <w:rPr>
          <w:b/>
          <w:szCs w:val="24"/>
        </w:rPr>
        <w:t xml:space="preserve">Análise: </w:t>
      </w:r>
      <w:r w:rsidR="00D4708E">
        <w:rPr>
          <w:szCs w:val="24"/>
        </w:rPr>
        <w:t>a Secretaria de Controle Externo do TCU no Estado de Tocantins atuou de acordo com as normas processuais da Corte de Contas Federal, observando o devido processo legal.</w:t>
      </w:r>
    </w:p>
    <w:p w:rsidR="004568CC" w:rsidRDefault="004568EE" w:rsidP="004568CC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51</w:t>
      </w:r>
      <w:r w:rsidR="004568CC">
        <w:rPr>
          <w:szCs w:val="24"/>
        </w:rPr>
        <w:t>.</w:t>
      </w:r>
      <w:r w:rsidR="004568CC">
        <w:rPr>
          <w:szCs w:val="24"/>
        </w:rPr>
        <w:tab/>
      </w:r>
      <w:r w:rsidR="004568CC">
        <w:rPr>
          <w:b/>
          <w:szCs w:val="24"/>
        </w:rPr>
        <w:t xml:space="preserve">Argumento: </w:t>
      </w:r>
      <w:r w:rsidR="004568CC">
        <w:rPr>
          <w:szCs w:val="24"/>
        </w:rPr>
        <w:t xml:space="preserve">novamente, invoca o fundamento do erro determinado por terceiro e </w:t>
      </w:r>
      <w:r w:rsidR="00BE7A65">
        <w:rPr>
          <w:szCs w:val="24"/>
        </w:rPr>
        <w:t>defende a atipicidade de sua conduta ante a ausência de dolo. Traz alguns excertos da lavra do Delegado Polícia Federal que tomou o depoimento dos envolvidos (p.27, peça 47).</w:t>
      </w:r>
    </w:p>
    <w:p w:rsidR="001F1153" w:rsidRPr="001F1153" w:rsidRDefault="001F1153" w:rsidP="004568CC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5</w:t>
      </w:r>
      <w:r w:rsidR="004568EE">
        <w:rPr>
          <w:szCs w:val="24"/>
        </w:rPr>
        <w:t>2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>
        <w:rPr>
          <w:szCs w:val="24"/>
        </w:rPr>
        <w:t xml:space="preserve">a responsabilização no âmbito do TCU encontra-se exposta no relatório e no </w:t>
      </w:r>
      <w:proofErr w:type="gramStart"/>
      <w:r>
        <w:rPr>
          <w:szCs w:val="24"/>
        </w:rPr>
        <w:t>voto condutores da deliberação recorrida</w:t>
      </w:r>
      <w:proofErr w:type="gramEnd"/>
      <w:r>
        <w:rPr>
          <w:szCs w:val="24"/>
        </w:rPr>
        <w:t>.</w:t>
      </w:r>
    </w:p>
    <w:p w:rsidR="00BE7A65" w:rsidRDefault="001F1153" w:rsidP="004568CC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5</w:t>
      </w:r>
      <w:r w:rsidR="004568EE">
        <w:rPr>
          <w:szCs w:val="24"/>
        </w:rPr>
        <w:t>3</w:t>
      </w:r>
      <w:r w:rsidR="00BE7A65">
        <w:rPr>
          <w:szCs w:val="24"/>
        </w:rPr>
        <w:t>.</w:t>
      </w:r>
      <w:r w:rsidR="00BE7A65">
        <w:rPr>
          <w:szCs w:val="24"/>
        </w:rPr>
        <w:tab/>
      </w:r>
      <w:r w:rsidR="00BE7A65">
        <w:rPr>
          <w:b/>
          <w:szCs w:val="24"/>
        </w:rPr>
        <w:t xml:space="preserve">Argumento: </w:t>
      </w:r>
      <w:r w:rsidR="00BE7A65">
        <w:rPr>
          <w:szCs w:val="24"/>
        </w:rPr>
        <w:t>informa que as cópias dos extratos e conciliações bancárias anexas demonstram como o ex-prefeito utilizou incorretamente os recursos e</w:t>
      </w:r>
      <w:r w:rsidR="004568EE">
        <w:rPr>
          <w:szCs w:val="24"/>
        </w:rPr>
        <w:t xml:space="preserve"> </w:t>
      </w:r>
      <w:r w:rsidR="002C19BC">
        <w:rPr>
          <w:szCs w:val="24"/>
        </w:rPr>
        <w:t>a</w:t>
      </w:r>
      <w:r w:rsidR="00BE7A65">
        <w:rPr>
          <w:szCs w:val="24"/>
        </w:rPr>
        <w:t xml:space="preserve"> induziu</w:t>
      </w:r>
      <w:r w:rsidR="004568EE">
        <w:rPr>
          <w:szCs w:val="24"/>
        </w:rPr>
        <w:t xml:space="preserve"> a</w:t>
      </w:r>
      <w:r w:rsidR="00BE7A65">
        <w:rPr>
          <w:szCs w:val="24"/>
        </w:rPr>
        <w:t xml:space="preserve"> erro. Assevera que não há como correlacionar sua conduta com a do Sr. </w:t>
      </w:r>
      <w:r w:rsidR="001F52ED">
        <w:rPr>
          <w:szCs w:val="24"/>
        </w:rPr>
        <w:t xml:space="preserve">Valdo Viana </w:t>
      </w:r>
      <w:r w:rsidR="00BE7A65">
        <w:rPr>
          <w:szCs w:val="24"/>
        </w:rPr>
        <w:t>e que restou comprovado que não se beneficiou do referido numerário</w:t>
      </w:r>
      <w:r w:rsidR="001F52ED">
        <w:rPr>
          <w:szCs w:val="24"/>
        </w:rPr>
        <w:t>, apesar de seu nome constar da relação de pagamentos e de ter fornecido notas fiscais para constar da prestação de contas.</w:t>
      </w:r>
    </w:p>
    <w:p w:rsidR="001F1153" w:rsidRPr="00EF5AF8" w:rsidRDefault="001F1153" w:rsidP="001F1153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5</w:t>
      </w:r>
      <w:r w:rsidR="004568EE">
        <w:rPr>
          <w:szCs w:val="24"/>
        </w:rPr>
        <w:t>4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>
        <w:rPr>
          <w:szCs w:val="24"/>
        </w:rPr>
        <w:t xml:space="preserve">as alegações acima militam </w:t>
      </w:r>
      <w:r w:rsidR="004568EE">
        <w:rPr>
          <w:szCs w:val="24"/>
        </w:rPr>
        <w:t>contra</w:t>
      </w:r>
      <w:r>
        <w:rPr>
          <w:szCs w:val="24"/>
        </w:rPr>
        <w:t xml:space="preserve"> </w:t>
      </w:r>
      <w:r w:rsidR="00C226F3">
        <w:rPr>
          <w:szCs w:val="24"/>
        </w:rPr>
        <w:t>a</w:t>
      </w:r>
      <w:r>
        <w:rPr>
          <w:szCs w:val="24"/>
        </w:rPr>
        <w:t xml:space="preserve"> Recorrente e devem ser tida como confissão e reconhecimento da participação no ato lesivo ao patrimônio público. </w:t>
      </w:r>
    </w:p>
    <w:p w:rsidR="00BE7A65" w:rsidRDefault="001F1153" w:rsidP="004568CC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lastRenderedPageBreak/>
        <w:t>5</w:t>
      </w:r>
      <w:r w:rsidR="00C226F3">
        <w:rPr>
          <w:szCs w:val="24"/>
        </w:rPr>
        <w:t>5</w:t>
      </w:r>
      <w:r w:rsidR="00BE7A65">
        <w:rPr>
          <w:szCs w:val="24"/>
        </w:rPr>
        <w:t>.</w:t>
      </w:r>
      <w:r w:rsidR="00BE7A65">
        <w:rPr>
          <w:szCs w:val="24"/>
        </w:rPr>
        <w:tab/>
      </w:r>
      <w:r w:rsidR="00BE7A65">
        <w:rPr>
          <w:b/>
          <w:szCs w:val="24"/>
        </w:rPr>
        <w:t xml:space="preserve">Argumento: </w:t>
      </w:r>
      <w:r w:rsidR="001F52ED">
        <w:rPr>
          <w:szCs w:val="24"/>
        </w:rPr>
        <w:t>pondera que não pode ter contas julgadas pelo TCU por não ser gestora de recursos públicos, mas apenas contratada.</w:t>
      </w:r>
    </w:p>
    <w:p w:rsidR="001F1153" w:rsidRPr="001F1153" w:rsidRDefault="001F1153" w:rsidP="004568CC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5</w:t>
      </w:r>
      <w:r w:rsidR="00C226F3">
        <w:rPr>
          <w:szCs w:val="24"/>
        </w:rPr>
        <w:t>6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>
        <w:rPr>
          <w:szCs w:val="24"/>
        </w:rPr>
        <w:t xml:space="preserve">a Recorrente não teve contas julgadas, mas sim o ex-prefeito. O que ocorreu foi a sua condenação solidária decorrente da previsão contida no art. 16, §2º, da Lei 8.443/92. </w:t>
      </w:r>
    </w:p>
    <w:p w:rsidR="001F52ED" w:rsidRDefault="001F1153" w:rsidP="004568CC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5</w:t>
      </w:r>
      <w:r w:rsidR="00C226F3">
        <w:rPr>
          <w:szCs w:val="24"/>
        </w:rPr>
        <w:t>7</w:t>
      </w:r>
      <w:r w:rsidR="001F52ED">
        <w:rPr>
          <w:szCs w:val="24"/>
        </w:rPr>
        <w:t>.</w:t>
      </w:r>
      <w:r w:rsidR="001F52ED">
        <w:rPr>
          <w:szCs w:val="24"/>
        </w:rPr>
        <w:tab/>
      </w:r>
      <w:r w:rsidR="001F52ED">
        <w:rPr>
          <w:b/>
          <w:szCs w:val="24"/>
        </w:rPr>
        <w:t xml:space="preserve">Argumento: </w:t>
      </w:r>
      <w:r w:rsidR="001F52ED">
        <w:rPr>
          <w:szCs w:val="24"/>
        </w:rPr>
        <w:t xml:space="preserve">faz considerações sobre improbidade administrativa e conclui que para a configuração desta é necessária </w:t>
      </w:r>
      <w:proofErr w:type="gramStart"/>
      <w:r w:rsidR="001F52ED">
        <w:rPr>
          <w:szCs w:val="24"/>
        </w:rPr>
        <w:t>a</w:t>
      </w:r>
      <w:proofErr w:type="gramEnd"/>
      <w:r w:rsidR="001F52ED">
        <w:rPr>
          <w:szCs w:val="24"/>
        </w:rPr>
        <w:t xml:space="preserve"> existência de dolo.</w:t>
      </w:r>
    </w:p>
    <w:p w:rsidR="001F1153" w:rsidRPr="001F1153" w:rsidRDefault="001F1153" w:rsidP="004568CC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5</w:t>
      </w:r>
      <w:r w:rsidR="00C226F3">
        <w:rPr>
          <w:szCs w:val="24"/>
        </w:rPr>
        <w:t>8</w:t>
      </w:r>
      <w:r>
        <w:rPr>
          <w:szCs w:val="24"/>
        </w:rPr>
        <w:t>.</w:t>
      </w:r>
      <w:r>
        <w:rPr>
          <w:szCs w:val="24"/>
        </w:rPr>
        <w:tab/>
      </w:r>
      <w:r>
        <w:rPr>
          <w:b/>
          <w:szCs w:val="24"/>
        </w:rPr>
        <w:t xml:space="preserve">Análise: </w:t>
      </w:r>
      <w:r>
        <w:rPr>
          <w:szCs w:val="24"/>
        </w:rPr>
        <w:t>a improbidade administrativa é apurada no âmbito do Poder Judiciário</w:t>
      </w:r>
      <w:r w:rsidR="00146E0C">
        <w:rPr>
          <w:szCs w:val="24"/>
        </w:rPr>
        <w:t>, conforme as regras previstas na Lei 8.429/1992</w:t>
      </w:r>
      <w:r>
        <w:rPr>
          <w:szCs w:val="24"/>
        </w:rPr>
        <w:t>.</w:t>
      </w:r>
    </w:p>
    <w:p w:rsidR="001F52ED" w:rsidRDefault="001F1153" w:rsidP="004568CC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5</w:t>
      </w:r>
      <w:r w:rsidR="00C226F3">
        <w:rPr>
          <w:szCs w:val="24"/>
        </w:rPr>
        <w:t>9</w:t>
      </w:r>
      <w:r w:rsidR="001F52ED">
        <w:rPr>
          <w:szCs w:val="24"/>
        </w:rPr>
        <w:t>.</w:t>
      </w:r>
      <w:r w:rsidR="001F52ED">
        <w:rPr>
          <w:szCs w:val="24"/>
        </w:rPr>
        <w:tab/>
      </w:r>
      <w:r w:rsidR="001F52ED">
        <w:rPr>
          <w:b/>
          <w:szCs w:val="24"/>
        </w:rPr>
        <w:t xml:space="preserve">Argumento: </w:t>
      </w:r>
      <w:proofErr w:type="gramStart"/>
      <w:r w:rsidR="001F52ED">
        <w:rPr>
          <w:szCs w:val="24"/>
        </w:rPr>
        <w:t>outrossim</w:t>
      </w:r>
      <w:proofErr w:type="gramEnd"/>
      <w:r w:rsidR="001F52ED">
        <w:rPr>
          <w:szCs w:val="24"/>
        </w:rPr>
        <w:t>, afirma que para que se constate a ocorrência de um ato ilícito como o apontado pelo TCU é imprescindível a demonstração de dano ao erário e do dolo na conduta do responsável.</w:t>
      </w:r>
    </w:p>
    <w:p w:rsidR="00146E0C" w:rsidRPr="00146E0C" w:rsidRDefault="00C226F3" w:rsidP="004568CC">
      <w:pPr>
        <w:tabs>
          <w:tab w:val="left" w:pos="1134"/>
        </w:tabs>
        <w:spacing w:after="120"/>
        <w:rPr>
          <w:szCs w:val="24"/>
        </w:rPr>
      </w:pPr>
      <w:r>
        <w:rPr>
          <w:szCs w:val="24"/>
        </w:rPr>
        <w:t>60</w:t>
      </w:r>
      <w:r w:rsidR="00146E0C">
        <w:rPr>
          <w:szCs w:val="24"/>
        </w:rPr>
        <w:t>.</w:t>
      </w:r>
      <w:r w:rsidR="00146E0C">
        <w:rPr>
          <w:szCs w:val="24"/>
        </w:rPr>
        <w:tab/>
      </w:r>
      <w:r w:rsidR="00146E0C">
        <w:rPr>
          <w:b/>
          <w:szCs w:val="24"/>
        </w:rPr>
        <w:t xml:space="preserve">Análise: </w:t>
      </w:r>
      <w:proofErr w:type="gramStart"/>
      <w:r w:rsidR="00146E0C">
        <w:rPr>
          <w:szCs w:val="24"/>
        </w:rPr>
        <w:t>restaram</w:t>
      </w:r>
      <w:proofErr w:type="gramEnd"/>
      <w:r w:rsidR="00146E0C">
        <w:rPr>
          <w:szCs w:val="24"/>
        </w:rPr>
        <w:t xml:space="preserve"> claramente demonstrados nos autos o dano ao erário e a conduta dolosa do ex-prefeito. Houve, sem dúvida, a participação da Recorrente que, além de não ter executado o objeto do convênio, emitiu notas fiscais frias, conforme a própria reconheceu. </w:t>
      </w:r>
    </w:p>
    <w:p w:rsidR="00D81187" w:rsidRPr="004E5517" w:rsidRDefault="00C226F3" w:rsidP="00FB0448">
      <w:pPr>
        <w:tabs>
          <w:tab w:val="left" w:pos="1134"/>
        </w:tabs>
        <w:spacing w:after="120"/>
      </w:pPr>
      <w:r>
        <w:rPr>
          <w:szCs w:val="24"/>
        </w:rPr>
        <w:t>61</w:t>
      </w:r>
      <w:r w:rsidR="00844831">
        <w:rPr>
          <w:szCs w:val="24"/>
        </w:rPr>
        <w:t>.</w:t>
      </w:r>
      <w:r w:rsidR="00844831">
        <w:rPr>
          <w:szCs w:val="24"/>
        </w:rPr>
        <w:tab/>
      </w:r>
      <w:r w:rsidR="001F52ED" w:rsidRPr="001F52ED">
        <w:rPr>
          <w:b/>
          <w:szCs w:val="24"/>
        </w:rPr>
        <w:t>Pedido</w:t>
      </w:r>
      <w:r w:rsidR="00844831">
        <w:rPr>
          <w:b/>
          <w:szCs w:val="24"/>
        </w:rPr>
        <w:t xml:space="preserve">: </w:t>
      </w:r>
      <w:r w:rsidR="00DF384E" w:rsidRPr="00552D92">
        <w:rPr>
          <w:szCs w:val="24"/>
        </w:rPr>
        <w:t>requer o conhecimento deste recurso e no mérito o seu provimento para que</w:t>
      </w:r>
      <w:r w:rsidR="001F52ED">
        <w:rPr>
          <w:szCs w:val="24"/>
        </w:rPr>
        <w:t xml:space="preserve"> se reconheç</w:t>
      </w:r>
      <w:r w:rsidR="00FB0448">
        <w:rPr>
          <w:szCs w:val="24"/>
        </w:rPr>
        <w:t>a a atipicidade de sua conduta. Caso</w:t>
      </w:r>
      <w:r w:rsidR="00DF384E" w:rsidRPr="00552D92">
        <w:rPr>
          <w:szCs w:val="24"/>
        </w:rPr>
        <w:t xml:space="preserve"> </w:t>
      </w:r>
      <w:r w:rsidR="00FB0448">
        <w:rPr>
          <w:szCs w:val="24"/>
        </w:rPr>
        <w:t>esta não seja acatada, requer que se exclua a sua responsabilidade, afastando-lhe o débito e a multa, pelos motivos acima esposados.</w:t>
      </w:r>
    </w:p>
    <w:p w:rsidR="004E5517" w:rsidRPr="00146E0C" w:rsidRDefault="00146E0C" w:rsidP="00146E0C">
      <w:pPr>
        <w:tabs>
          <w:tab w:val="left" w:pos="1134"/>
        </w:tabs>
      </w:pPr>
      <w:r>
        <w:t>6</w:t>
      </w:r>
      <w:r w:rsidR="00C226F3">
        <w:t>2</w:t>
      </w:r>
      <w:r>
        <w:t>.</w:t>
      </w:r>
      <w:r>
        <w:tab/>
      </w:r>
      <w:r>
        <w:rPr>
          <w:b/>
        </w:rPr>
        <w:t xml:space="preserve">Análise: </w:t>
      </w:r>
      <w:r>
        <w:t xml:space="preserve">diante dos fatos acima narrados, não é possível prover o apelo da Recorrente, pois as razões recursais confirmaram a sua participação na irregularidade identificada pelo TCU. </w:t>
      </w:r>
    </w:p>
    <w:p w:rsidR="004E5517" w:rsidRPr="00D81187" w:rsidRDefault="004E5517" w:rsidP="00D81187"/>
    <w:p w:rsidR="00C3499E" w:rsidRPr="00E31E74" w:rsidRDefault="00725701" w:rsidP="00D81187">
      <w:pPr>
        <w:pStyle w:val="Ttulo1"/>
        <w:tabs>
          <w:tab w:val="left" w:pos="1134"/>
        </w:tabs>
        <w:spacing w:after="120"/>
        <w:ind w:firstLine="0"/>
        <w:rPr>
          <w:b w:val="0"/>
        </w:rPr>
      </w:pPr>
      <w:r w:rsidRPr="00E31E74">
        <w:tab/>
      </w:r>
      <w:r w:rsidR="00C3499E" w:rsidRPr="00E31E74">
        <w:t>PROPOSTA DE ENCAMINHAMENTO</w:t>
      </w:r>
    </w:p>
    <w:p w:rsidR="00C3499E" w:rsidRPr="00E31E74" w:rsidRDefault="00146E0C" w:rsidP="00C3499E">
      <w:pPr>
        <w:tabs>
          <w:tab w:val="left" w:pos="1134"/>
        </w:tabs>
        <w:spacing w:after="120"/>
      </w:pPr>
      <w:r>
        <w:rPr>
          <w:szCs w:val="24"/>
        </w:rPr>
        <w:t>6</w:t>
      </w:r>
      <w:r w:rsidR="00C226F3">
        <w:rPr>
          <w:szCs w:val="24"/>
        </w:rPr>
        <w:t>3</w:t>
      </w:r>
      <w:r w:rsidR="00C3499E" w:rsidRPr="00E31E74">
        <w:rPr>
          <w:szCs w:val="24"/>
        </w:rPr>
        <w:t>.</w:t>
      </w:r>
      <w:r w:rsidR="00C3499E" w:rsidRPr="00E31E74">
        <w:rPr>
          <w:szCs w:val="24"/>
        </w:rPr>
        <w:tab/>
      </w:r>
      <w:r w:rsidR="00C3499E" w:rsidRPr="00E31E74">
        <w:t>Ante o exposto, submetem-se os autos à consideração superior, propondo:</w:t>
      </w:r>
    </w:p>
    <w:p w:rsidR="000B7945" w:rsidRDefault="00C3499E" w:rsidP="00A977FF">
      <w:pPr>
        <w:tabs>
          <w:tab w:val="left" w:pos="1134"/>
        </w:tabs>
        <w:spacing w:after="120"/>
        <w:rPr>
          <w:szCs w:val="24"/>
        </w:rPr>
      </w:pPr>
      <w:r w:rsidRPr="00E31E74">
        <w:rPr>
          <w:szCs w:val="24"/>
        </w:rPr>
        <w:tab/>
      </w:r>
      <w:proofErr w:type="gramStart"/>
      <w:r w:rsidR="0088635C">
        <w:rPr>
          <w:szCs w:val="24"/>
        </w:rPr>
        <w:t>a</w:t>
      </w:r>
      <w:proofErr w:type="gramEnd"/>
      <w:r w:rsidRPr="00E31E74">
        <w:rPr>
          <w:szCs w:val="24"/>
        </w:rPr>
        <w:t>) conhecer d</w:t>
      </w:r>
      <w:r w:rsidRPr="00C033A2">
        <w:rPr>
          <w:szCs w:val="24"/>
        </w:rPr>
        <w:t>o</w:t>
      </w:r>
      <w:r w:rsidR="00F260B0" w:rsidRPr="00C033A2">
        <w:rPr>
          <w:szCs w:val="24"/>
        </w:rPr>
        <w:t xml:space="preserve"> Recurso de Reconsideração </w:t>
      </w:r>
      <w:r w:rsidR="00B842A6" w:rsidRPr="00C033A2">
        <w:rPr>
          <w:szCs w:val="24"/>
        </w:rPr>
        <w:t>interposto pel</w:t>
      </w:r>
      <w:r w:rsidR="00FB0448">
        <w:rPr>
          <w:szCs w:val="24"/>
        </w:rPr>
        <w:t>a Construtora Araújo Ribeiro Ltda.</w:t>
      </w:r>
      <w:r w:rsidR="00083F5B" w:rsidRPr="00C033A2">
        <w:rPr>
          <w:szCs w:val="24"/>
        </w:rPr>
        <w:t>,</w:t>
      </w:r>
      <w:r w:rsidRPr="00C033A2">
        <w:rPr>
          <w:szCs w:val="24"/>
        </w:rPr>
        <w:t xml:space="preserve"> com fundamento no</w:t>
      </w:r>
      <w:r w:rsidR="006C2892" w:rsidRPr="00C033A2">
        <w:rPr>
          <w:szCs w:val="24"/>
        </w:rPr>
        <w:t xml:space="preserve">s </w:t>
      </w:r>
      <w:proofErr w:type="spellStart"/>
      <w:r w:rsidR="006C2892" w:rsidRPr="00C033A2">
        <w:rPr>
          <w:szCs w:val="24"/>
        </w:rPr>
        <w:t>arts</w:t>
      </w:r>
      <w:proofErr w:type="spellEnd"/>
      <w:r w:rsidR="006C2892" w:rsidRPr="00C033A2">
        <w:rPr>
          <w:szCs w:val="24"/>
        </w:rPr>
        <w:t>. 32, inciso I, e 33 da Lei n.º 8.443</w:t>
      </w:r>
      <w:r w:rsidRPr="00C033A2">
        <w:rPr>
          <w:szCs w:val="24"/>
        </w:rPr>
        <w:t xml:space="preserve">/1992 </w:t>
      </w:r>
      <w:r w:rsidR="005946E4" w:rsidRPr="00C033A2">
        <w:rPr>
          <w:szCs w:val="24"/>
        </w:rPr>
        <w:t>e</w:t>
      </w:r>
      <w:r w:rsidRPr="00C033A2">
        <w:rPr>
          <w:szCs w:val="24"/>
        </w:rPr>
        <w:t xml:space="preserve"> no mérito</w:t>
      </w:r>
      <w:r w:rsidR="005946E4" w:rsidRPr="00C033A2">
        <w:rPr>
          <w:szCs w:val="24"/>
        </w:rPr>
        <w:t xml:space="preserve"> </w:t>
      </w:r>
      <w:r w:rsidR="004E5517">
        <w:rPr>
          <w:szCs w:val="24"/>
        </w:rPr>
        <w:t>negar</w:t>
      </w:r>
      <w:r w:rsidR="00083F5B" w:rsidRPr="00C033A2">
        <w:rPr>
          <w:szCs w:val="24"/>
        </w:rPr>
        <w:t>-lhe</w:t>
      </w:r>
      <w:r w:rsidR="005946E4" w:rsidRPr="00C033A2">
        <w:rPr>
          <w:szCs w:val="24"/>
        </w:rPr>
        <w:t xml:space="preserve"> provimento</w:t>
      </w:r>
      <w:r w:rsidR="00083F5B" w:rsidRPr="00C033A2">
        <w:rPr>
          <w:szCs w:val="24"/>
        </w:rPr>
        <w:t xml:space="preserve">, </w:t>
      </w:r>
      <w:r w:rsidR="004E5517">
        <w:rPr>
          <w:szCs w:val="24"/>
        </w:rPr>
        <w:t xml:space="preserve">mantendo-se inalterado o teor do </w:t>
      </w:r>
      <w:r w:rsidR="000C03DF">
        <w:rPr>
          <w:szCs w:val="24"/>
        </w:rPr>
        <w:t>acórdão recorrido</w:t>
      </w:r>
      <w:r w:rsidR="004E5517">
        <w:rPr>
          <w:szCs w:val="24"/>
        </w:rPr>
        <w:t>.</w:t>
      </w:r>
      <w:r w:rsidR="000B7945">
        <w:rPr>
          <w:szCs w:val="24"/>
        </w:rPr>
        <w:t xml:space="preserve"> </w:t>
      </w:r>
    </w:p>
    <w:p w:rsidR="00080FBE" w:rsidRDefault="0088635C" w:rsidP="00080FBE">
      <w:pPr>
        <w:tabs>
          <w:tab w:val="left" w:pos="1134"/>
        </w:tabs>
        <w:spacing w:after="120"/>
      </w:pPr>
      <w:r>
        <w:rPr>
          <w:szCs w:val="24"/>
        </w:rPr>
        <w:tab/>
      </w:r>
      <w:proofErr w:type="gramStart"/>
      <w:r w:rsidR="00080FBE">
        <w:rPr>
          <w:szCs w:val="24"/>
        </w:rPr>
        <w:t>b</w:t>
      </w:r>
      <w:r w:rsidR="00080FBE" w:rsidRPr="0059210D">
        <w:rPr>
          <w:szCs w:val="24"/>
        </w:rPr>
        <w:t>)</w:t>
      </w:r>
      <w:proofErr w:type="gramEnd"/>
      <w:r w:rsidR="00080FBE" w:rsidRPr="0059210D">
        <w:rPr>
          <w:szCs w:val="24"/>
        </w:rPr>
        <w:t> dar ciência às partes e aos órgãos/entidades interessados</w:t>
      </w:r>
      <w:r w:rsidR="00080FBE">
        <w:rPr>
          <w:szCs w:val="24"/>
        </w:rPr>
        <w:t>.</w:t>
      </w:r>
    </w:p>
    <w:p w:rsidR="00526390" w:rsidRDefault="00526390" w:rsidP="007309CA">
      <w:pPr>
        <w:pStyle w:val="Corpodetexto"/>
        <w:spacing w:before="120"/>
        <w:ind w:firstLine="1134"/>
        <w:jc w:val="center"/>
      </w:pPr>
      <w:r>
        <w:t xml:space="preserve">TCU/Secretaria de Recursos, em </w:t>
      </w:r>
      <w:r w:rsidR="00DF44F6">
        <w:t>26</w:t>
      </w:r>
      <w:r>
        <w:t xml:space="preserve"> de </w:t>
      </w:r>
      <w:r w:rsidR="00B87102">
        <w:t>outubro</w:t>
      </w:r>
      <w:r w:rsidR="006970FC">
        <w:t xml:space="preserve"> de</w:t>
      </w:r>
      <w:r>
        <w:t xml:space="preserve"> 20</w:t>
      </w:r>
      <w:r w:rsidR="00C63DC3">
        <w:t>1</w:t>
      </w:r>
      <w:r w:rsidR="00AE0B03">
        <w:t>2</w:t>
      </w:r>
      <w:r>
        <w:t>.</w:t>
      </w:r>
    </w:p>
    <w:p w:rsidR="00C3499E" w:rsidRPr="00D17360" w:rsidRDefault="00C3499E" w:rsidP="00C3499E">
      <w:pPr>
        <w:pStyle w:val="Corpodetexto"/>
        <w:jc w:val="center"/>
        <w:rPr>
          <w:i/>
          <w:szCs w:val="24"/>
        </w:rPr>
      </w:pPr>
      <w:r>
        <w:rPr>
          <w:i/>
          <w:szCs w:val="24"/>
        </w:rPr>
        <w:t xml:space="preserve">(Assinado Eletronicamente) </w:t>
      </w:r>
    </w:p>
    <w:p w:rsidR="00C3499E" w:rsidRPr="006B04F2" w:rsidRDefault="00C3499E" w:rsidP="00C3499E">
      <w:pPr>
        <w:pStyle w:val="Corpodetexto"/>
        <w:jc w:val="center"/>
        <w:rPr>
          <w:b/>
          <w:szCs w:val="24"/>
        </w:rPr>
      </w:pPr>
      <w:r w:rsidRPr="006B04F2">
        <w:rPr>
          <w:b/>
          <w:szCs w:val="24"/>
        </w:rPr>
        <w:t>A</w:t>
      </w:r>
      <w:r w:rsidR="00AE0B03" w:rsidRPr="006B04F2">
        <w:rPr>
          <w:b/>
          <w:szCs w:val="24"/>
        </w:rPr>
        <w:t>lexandre Cardoso Veloso</w:t>
      </w:r>
    </w:p>
    <w:p w:rsidR="00C3499E" w:rsidRPr="00E64192" w:rsidRDefault="00C3499E" w:rsidP="00C3499E">
      <w:pPr>
        <w:pStyle w:val="Corpodetexto"/>
        <w:jc w:val="center"/>
        <w:rPr>
          <w:szCs w:val="24"/>
        </w:rPr>
      </w:pPr>
      <w:r w:rsidRPr="00E64192">
        <w:rPr>
          <w:szCs w:val="24"/>
        </w:rPr>
        <w:t>Auditor Federal de Controle Externo</w:t>
      </w:r>
    </w:p>
    <w:p w:rsidR="00BB139B" w:rsidRDefault="00C3499E" w:rsidP="004E5517">
      <w:pPr>
        <w:pStyle w:val="Recuodecorpodetexto"/>
        <w:ind w:firstLine="0"/>
        <w:jc w:val="center"/>
        <w:rPr>
          <w:szCs w:val="24"/>
        </w:rPr>
      </w:pPr>
      <w:r w:rsidRPr="00E64192">
        <w:rPr>
          <w:szCs w:val="24"/>
        </w:rPr>
        <w:t xml:space="preserve">Matrícula </w:t>
      </w:r>
      <w:r w:rsidR="00AE0B03">
        <w:rPr>
          <w:szCs w:val="24"/>
        </w:rPr>
        <w:t>2798-7</w:t>
      </w:r>
    </w:p>
    <w:sectPr w:rsidR="00BB139B" w:rsidSect="00C3499E">
      <w:headerReference w:type="default" r:id="rId8"/>
      <w:footerReference w:type="default" r:id="rId9"/>
      <w:pgSz w:w="12240" w:h="15840"/>
      <w:pgMar w:top="1871" w:right="851" w:bottom="765" w:left="1276" w:header="851" w:footer="652" w:gutter="0"/>
      <w:pgNumType w:start="2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D75" w:rsidRDefault="005B0D75">
      <w:r>
        <w:separator/>
      </w:r>
    </w:p>
  </w:endnote>
  <w:endnote w:type="continuationSeparator" w:id="0">
    <w:p w:rsidR="005B0D75" w:rsidRDefault="005B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AB" w:rsidRPr="00D81BB7" w:rsidRDefault="00B517AB">
    <w:pPr>
      <w:pStyle w:val="Rodap"/>
      <w:rPr>
        <w:sz w:val="16"/>
        <w:szCs w:val="16"/>
      </w:rPr>
    </w:pPr>
  </w:p>
  <w:p w:rsidR="00B517AB" w:rsidRPr="000D2500" w:rsidRDefault="00B517AB">
    <w:pPr>
      <w:pStyle w:val="Rodap"/>
      <w:rPr>
        <w:sz w:val="16"/>
        <w:szCs w:val="16"/>
      </w:rPr>
    </w:pPr>
  </w:p>
  <w:p w:rsidR="00B517AB" w:rsidRPr="002A4FE4" w:rsidRDefault="00B517AB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D75" w:rsidRDefault="005B0D75">
      <w:r>
        <w:separator/>
      </w:r>
    </w:p>
  </w:footnote>
  <w:footnote w:type="continuationSeparator" w:id="0">
    <w:p w:rsidR="005B0D75" w:rsidRDefault="005B0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AB" w:rsidRDefault="00B776E9">
    <w:pPr>
      <w:pStyle w:val="Cabealho"/>
    </w:pPr>
    <w:r>
      <w:rPr>
        <w:noProof/>
      </w:rPr>
      <w:pict>
        <v:line id="LinhaCarimbo" o:spid="_x0000_s1118" style="position:absolute;left:0;text-align:left;z-index:251659776;mso-position-horizontal-relative:page;mso-position-vertical-relative:page" from="513.35pt,78.8pt" to="571.2pt,78.8pt" o:allowincell="f" strokeweight="2pt">
          <w10:wrap anchorx="page" anchory="page"/>
        </v:line>
      </w:pict>
    </w:r>
    <w:r>
      <w:rPr>
        <w:noProof/>
      </w:rPr>
      <w:pict>
        <v:oval id="Carimbo" o:spid="_x0000_s1117" style="position:absolute;left:0;text-align:left;margin-left:505.7pt;margin-top:21.25pt;width:1in;height:1in;z-index:251658752;mso-position-horizontal-relative:page;mso-position-vertical-relative:page" o:allowincell="f" strokeweight="2pt">
          <v:textbox style="mso-next-textbox:#Carimbo">
            <w:txbxContent>
              <w:p w:rsidR="00B517AB" w:rsidRDefault="00B517AB">
                <w:pPr>
                  <w:jc w:val="center"/>
                  <w:rPr>
                    <w:rFonts w:ascii="Arial Narrow" w:hAnsi="Arial Narrow"/>
                    <w:b/>
                    <w:sz w:val="18"/>
                  </w:rPr>
                </w:pPr>
                <w:r>
                  <w:rPr>
                    <w:rFonts w:ascii="Arial Narrow" w:hAnsi="Arial Narrow"/>
                    <w:b/>
                    <w:sz w:val="18"/>
                  </w:rPr>
                  <w:t>SERUR</w:t>
                </w:r>
              </w:p>
              <w:p w:rsidR="00B517AB" w:rsidRDefault="00B517AB">
                <w:pPr>
                  <w:jc w:val="center"/>
                  <w:rPr>
                    <w:rFonts w:ascii="Arial Narrow" w:hAnsi="Arial Narrow"/>
                    <w:b/>
                    <w:sz w:val="18"/>
                  </w:rPr>
                </w:pPr>
                <w:r>
                  <w:rPr>
                    <w:rFonts w:ascii="Arial Narrow" w:hAnsi="Arial Narrow"/>
                    <w:b/>
                    <w:sz w:val="18"/>
                  </w:rPr>
                  <w:t xml:space="preserve">Fls. </w:t>
                </w:r>
                <w:r w:rsidR="00B776E9">
                  <w:rPr>
                    <w:rFonts w:ascii="Arial Narrow" w:hAnsi="Arial Narrow"/>
                    <w:b/>
                    <w:sz w:val="18"/>
                  </w:rPr>
                  <w:fldChar w:fldCharType="begin"/>
                </w:r>
                <w:r>
                  <w:rPr>
                    <w:rFonts w:ascii="Arial Narrow" w:hAnsi="Arial Narrow"/>
                    <w:b/>
                    <w:sz w:val="18"/>
                  </w:rPr>
                  <w:instrText xml:space="preserve"> PAGE  \* MERGEFORMAT </w:instrText>
                </w:r>
                <w:r w:rsidR="00B776E9">
                  <w:rPr>
                    <w:rFonts w:ascii="Arial Narrow" w:hAnsi="Arial Narrow"/>
                    <w:b/>
                    <w:sz w:val="18"/>
                  </w:rPr>
                  <w:fldChar w:fldCharType="separate"/>
                </w:r>
                <w:r w:rsidR="008B5EB6">
                  <w:rPr>
                    <w:rFonts w:ascii="Arial Narrow" w:hAnsi="Arial Narrow"/>
                    <w:b/>
                    <w:noProof/>
                    <w:sz w:val="18"/>
                  </w:rPr>
                  <w:t>28</w:t>
                </w:r>
                <w:r w:rsidR="00B776E9">
                  <w:rPr>
                    <w:rFonts w:ascii="Arial Narrow" w:hAnsi="Arial Narrow"/>
                    <w:b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oval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6" type="#_x0000_t202" style="position:absolute;left:0;text-align:left;margin-left:43.1pt;margin-top:44.5pt;width:498.6pt;height:41.1pt;z-index:251657728;mso-position-horizontal-relative:margin;mso-position-vertical-relative:page" o:allowincell="f" stroked="f">
          <v:textbox style="mso-next-textbox:#_x0000_s1116;mso-rotate-with-shape:t" inset="5pt,2.83pt,5pt,5pt">
            <w:txbxContent>
              <w:p w:rsidR="00B517AB" w:rsidRDefault="00B517AB">
                <w:pPr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TRIBUNAL DE CONTAS DA UNIÃO</w:t>
                </w:r>
              </w:p>
              <w:p w:rsidR="00B517AB" w:rsidRDefault="00B517AB">
                <w:pPr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Secretaria de Recursos</w:t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line id="_x0000_s1115" style="position:absolute;left:0;text-align:left;z-index:251656704;mso-position-horizontal-relative:margin" from="0,45.35pt" to="498.6pt,45.35pt" o:allowincell="f">
          <w10:wrap anchorx="margin"/>
        </v:line>
      </w:pict>
    </w:r>
    <w:r w:rsidR="00B517AB">
      <w:rPr>
        <w:noProof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42925" cy="434340"/>
          <wp:effectExtent l="19050" t="0" r="9525" b="0"/>
          <wp:wrapTopAndBottom/>
          <wp:docPr id="90" name="Imagem 90" descr="LogoT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Tc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C1D"/>
    <w:multiLevelType w:val="singleLevel"/>
    <w:tmpl w:val="5F024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9117E"/>
    <w:multiLevelType w:val="singleLevel"/>
    <w:tmpl w:val="994C95B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040136E6"/>
    <w:multiLevelType w:val="singleLevel"/>
    <w:tmpl w:val="B7EC549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360"/>
      </w:pPr>
      <w:rPr>
        <w:rFonts w:hint="default"/>
      </w:rPr>
    </w:lvl>
  </w:abstractNum>
  <w:abstractNum w:abstractNumId="3">
    <w:nsid w:val="095F393A"/>
    <w:multiLevelType w:val="hybridMultilevel"/>
    <w:tmpl w:val="0F6E4F9E"/>
    <w:lvl w:ilvl="0" w:tplc="CE0AEB00">
      <w:start w:val="2"/>
      <w:numFmt w:val="decimal"/>
      <w:pStyle w:val="Normal-numerado-REL01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1B3572"/>
    <w:multiLevelType w:val="multilevel"/>
    <w:tmpl w:val="121E45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60" w:hanging="1800"/>
      </w:pPr>
      <w:rPr>
        <w:rFonts w:hint="default"/>
      </w:rPr>
    </w:lvl>
  </w:abstractNum>
  <w:abstractNum w:abstractNumId="5">
    <w:nsid w:val="0D437B35"/>
    <w:multiLevelType w:val="singleLevel"/>
    <w:tmpl w:val="6E8AFD86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 w:val="0"/>
        <w:i w:val="0"/>
      </w:rPr>
    </w:lvl>
  </w:abstractNum>
  <w:abstractNum w:abstractNumId="6">
    <w:nsid w:val="0EE521E1"/>
    <w:multiLevelType w:val="singleLevel"/>
    <w:tmpl w:val="BFA0EDCE"/>
    <w:lvl w:ilvl="0">
      <w:start w:val="7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13D86B50"/>
    <w:multiLevelType w:val="singleLevel"/>
    <w:tmpl w:val="1E74A0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9283672"/>
    <w:multiLevelType w:val="hybridMultilevel"/>
    <w:tmpl w:val="889899D2"/>
    <w:lvl w:ilvl="0" w:tplc="E45636D6">
      <w:start w:val="2"/>
      <w:numFmt w:val="decimal"/>
      <w:pStyle w:val="Normal-numerado-VOT01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E1B2D53"/>
    <w:multiLevelType w:val="singleLevel"/>
    <w:tmpl w:val="6E8AFD86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 w:val="0"/>
        <w:i w:val="0"/>
      </w:rPr>
    </w:lvl>
  </w:abstractNum>
  <w:abstractNum w:abstractNumId="10">
    <w:nsid w:val="24767918"/>
    <w:multiLevelType w:val="multilevel"/>
    <w:tmpl w:val="DB9EDC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6140328"/>
    <w:multiLevelType w:val="multilevel"/>
    <w:tmpl w:val="B0BA5E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FBD190F"/>
    <w:multiLevelType w:val="hybridMultilevel"/>
    <w:tmpl w:val="06A6683C"/>
    <w:lvl w:ilvl="0" w:tplc="4B2C5064">
      <w:start w:val="1"/>
      <w:numFmt w:val="decimal"/>
      <w:lvlText w:val="%12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41951"/>
    <w:multiLevelType w:val="singleLevel"/>
    <w:tmpl w:val="89E231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F514A5B"/>
    <w:multiLevelType w:val="multilevel"/>
    <w:tmpl w:val="A0A442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15">
    <w:nsid w:val="4095604D"/>
    <w:multiLevelType w:val="singleLevel"/>
    <w:tmpl w:val="0414BA9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>
    <w:nsid w:val="46654174"/>
    <w:multiLevelType w:val="hybridMultilevel"/>
    <w:tmpl w:val="BCD0138C"/>
    <w:lvl w:ilvl="0" w:tplc="309AFB86">
      <w:start w:val="2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52F547BE"/>
    <w:multiLevelType w:val="singleLevel"/>
    <w:tmpl w:val="1E74A0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F5162A"/>
    <w:multiLevelType w:val="hybridMultilevel"/>
    <w:tmpl w:val="B616F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B6762"/>
    <w:multiLevelType w:val="singleLevel"/>
    <w:tmpl w:val="D7AED9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58BF61D3"/>
    <w:multiLevelType w:val="singleLevel"/>
    <w:tmpl w:val="4FD4D286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>
    <w:nsid w:val="5BE82CFC"/>
    <w:multiLevelType w:val="singleLevel"/>
    <w:tmpl w:val="0414BA9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>
    <w:nsid w:val="5F254911"/>
    <w:multiLevelType w:val="multilevel"/>
    <w:tmpl w:val="065E99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800"/>
      </w:pPr>
      <w:rPr>
        <w:rFonts w:cs="Times New Roman" w:hint="default"/>
      </w:rPr>
    </w:lvl>
  </w:abstractNum>
  <w:abstractNum w:abstractNumId="23">
    <w:nsid w:val="630D3A5F"/>
    <w:multiLevelType w:val="multilevel"/>
    <w:tmpl w:val="1DD83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24">
    <w:nsid w:val="6521745A"/>
    <w:multiLevelType w:val="hybridMultilevel"/>
    <w:tmpl w:val="3B8863D6"/>
    <w:lvl w:ilvl="0" w:tplc="781AE9FC">
      <w:start w:val="1"/>
      <w:numFmt w:val="bullet"/>
      <w:pStyle w:val="Normal-bullet"/>
      <w:lvlText w:val=""/>
      <w:lvlJc w:val="left"/>
      <w:pPr>
        <w:ind w:left="720" w:hanging="360"/>
      </w:pPr>
      <w:rPr>
        <w:rFonts w:ascii="Wingdings" w:hAnsi="Wingdings" w:hint="default"/>
        <w:u w:color="59595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38093D"/>
    <w:multiLevelType w:val="multilevel"/>
    <w:tmpl w:val="4FDE7CE4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26">
    <w:nsid w:val="718E3378"/>
    <w:multiLevelType w:val="singleLevel"/>
    <w:tmpl w:val="021077BE"/>
    <w:lvl w:ilvl="0">
      <w:start w:val="2"/>
      <w:numFmt w:val="decimal"/>
      <w:pStyle w:val="RelatrioNumerado"/>
      <w:lvlText w:val="%1."/>
      <w:lvlJc w:val="left"/>
      <w:pPr>
        <w:tabs>
          <w:tab w:val="num" w:pos="360"/>
        </w:tabs>
        <w:ind w:left="0" w:firstLine="0"/>
      </w:pPr>
      <w:rPr>
        <w:rFonts w:ascii="Times New (W1)" w:hAnsi="Times New (W1)" w:hint="default"/>
        <w:b w:val="0"/>
        <w:i w:val="0"/>
        <w:sz w:val="24"/>
      </w:rPr>
    </w:lvl>
  </w:abstractNum>
  <w:abstractNum w:abstractNumId="27">
    <w:nsid w:val="76060F23"/>
    <w:multiLevelType w:val="singleLevel"/>
    <w:tmpl w:val="5008CE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BCA399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7BFB175E"/>
    <w:multiLevelType w:val="singleLevel"/>
    <w:tmpl w:val="6338F850"/>
    <w:lvl w:ilvl="0">
      <w:numFmt w:val="bullet"/>
      <w:lvlText w:val="–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>
    <w:nsid w:val="7C0E07C0"/>
    <w:multiLevelType w:val="multilevel"/>
    <w:tmpl w:val="5F7A2B8A"/>
    <w:lvl w:ilvl="0">
      <w:start w:val="2"/>
      <w:numFmt w:val="decimal"/>
      <w:lvlText w:val="%1."/>
      <w:lvlJc w:val="left"/>
      <w:pPr>
        <w:tabs>
          <w:tab w:val="num" w:pos="1494"/>
        </w:tabs>
        <w:ind w:left="0" w:firstLine="113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42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2126"/>
        </w:tabs>
        <w:ind w:left="2126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95"/>
        </w:tabs>
        <w:ind w:left="199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80"/>
        </w:tabs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25"/>
  </w:num>
  <w:num w:numId="5">
    <w:abstractNumId w:val="11"/>
  </w:num>
  <w:num w:numId="6">
    <w:abstractNumId w:val="1"/>
  </w:num>
  <w:num w:numId="7">
    <w:abstractNumId w:val="27"/>
  </w:num>
  <w:num w:numId="8">
    <w:abstractNumId w:val="15"/>
  </w:num>
  <w:num w:numId="9">
    <w:abstractNumId w:val="7"/>
  </w:num>
  <w:num w:numId="10">
    <w:abstractNumId w:val="28"/>
  </w:num>
  <w:num w:numId="11">
    <w:abstractNumId w:val="10"/>
  </w:num>
  <w:num w:numId="12">
    <w:abstractNumId w:val="20"/>
  </w:num>
  <w:num w:numId="13">
    <w:abstractNumId w:val="21"/>
  </w:num>
  <w:num w:numId="14">
    <w:abstractNumId w:val="26"/>
  </w:num>
  <w:num w:numId="15">
    <w:abstractNumId w:val="5"/>
  </w:num>
  <w:num w:numId="16">
    <w:abstractNumId w:val="13"/>
  </w:num>
  <w:num w:numId="17">
    <w:abstractNumId w:val="17"/>
  </w:num>
  <w:num w:numId="18">
    <w:abstractNumId w:val="29"/>
  </w:num>
  <w:num w:numId="19">
    <w:abstractNumId w:val="0"/>
  </w:num>
  <w:num w:numId="20">
    <w:abstractNumId w:val="19"/>
  </w:num>
  <w:num w:numId="21">
    <w:abstractNumId w:val="16"/>
  </w:num>
  <w:num w:numId="22">
    <w:abstractNumId w:val="22"/>
  </w:num>
  <w:num w:numId="23">
    <w:abstractNumId w:val="18"/>
  </w:num>
  <w:num w:numId="24">
    <w:abstractNumId w:val="3"/>
  </w:num>
  <w:num w:numId="25">
    <w:abstractNumId w:val="8"/>
  </w:num>
  <w:num w:numId="26">
    <w:abstractNumId w:val="24"/>
  </w:num>
  <w:num w:numId="27">
    <w:abstractNumId w:val="30"/>
  </w:num>
  <w:num w:numId="28">
    <w:abstractNumId w:val="4"/>
  </w:num>
  <w:num w:numId="29">
    <w:abstractNumId w:val="23"/>
  </w:num>
  <w:num w:numId="30">
    <w:abstractNumId w:val="14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4FE4"/>
    <w:rsid w:val="00001602"/>
    <w:rsid w:val="00002379"/>
    <w:rsid w:val="00002604"/>
    <w:rsid w:val="00004982"/>
    <w:rsid w:val="00004A50"/>
    <w:rsid w:val="000056F3"/>
    <w:rsid w:val="00006C4B"/>
    <w:rsid w:val="00007803"/>
    <w:rsid w:val="00010265"/>
    <w:rsid w:val="00010F8E"/>
    <w:rsid w:val="00011745"/>
    <w:rsid w:val="00011755"/>
    <w:rsid w:val="00011EFC"/>
    <w:rsid w:val="00012392"/>
    <w:rsid w:val="000127B3"/>
    <w:rsid w:val="000140E7"/>
    <w:rsid w:val="0001433E"/>
    <w:rsid w:val="00017695"/>
    <w:rsid w:val="000203AC"/>
    <w:rsid w:val="00020A60"/>
    <w:rsid w:val="00021633"/>
    <w:rsid w:val="00024425"/>
    <w:rsid w:val="000250A0"/>
    <w:rsid w:val="00026EE8"/>
    <w:rsid w:val="00026FF8"/>
    <w:rsid w:val="000274E2"/>
    <w:rsid w:val="000275BE"/>
    <w:rsid w:val="00030473"/>
    <w:rsid w:val="00031C4B"/>
    <w:rsid w:val="000320FC"/>
    <w:rsid w:val="000323AE"/>
    <w:rsid w:val="00035635"/>
    <w:rsid w:val="00037D3F"/>
    <w:rsid w:val="0004003B"/>
    <w:rsid w:val="00040E5A"/>
    <w:rsid w:val="000412F8"/>
    <w:rsid w:val="00041782"/>
    <w:rsid w:val="00044DEC"/>
    <w:rsid w:val="00047DBF"/>
    <w:rsid w:val="000506AF"/>
    <w:rsid w:val="000524F4"/>
    <w:rsid w:val="00052D95"/>
    <w:rsid w:val="00055076"/>
    <w:rsid w:val="0005661C"/>
    <w:rsid w:val="00057B04"/>
    <w:rsid w:val="00057DC2"/>
    <w:rsid w:val="00057EDA"/>
    <w:rsid w:val="000605EA"/>
    <w:rsid w:val="00060E87"/>
    <w:rsid w:val="0006156B"/>
    <w:rsid w:val="00062678"/>
    <w:rsid w:val="00062812"/>
    <w:rsid w:val="00062C58"/>
    <w:rsid w:val="00063B60"/>
    <w:rsid w:val="00064A0F"/>
    <w:rsid w:val="00064C59"/>
    <w:rsid w:val="0006526F"/>
    <w:rsid w:val="00065CDF"/>
    <w:rsid w:val="00066260"/>
    <w:rsid w:val="00067A23"/>
    <w:rsid w:val="00067AD2"/>
    <w:rsid w:val="00070058"/>
    <w:rsid w:val="00071F72"/>
    <w:rsid w:val="0007313E"/>
    <w:rsid w:val="00073A07"/>
    <w:rsid w:val="000746C8"/>
    <w:rsid w:val="00074A27"/>
    <w:rsid w:val="00075502"/>
    <w:rsid w:val="00075568"/>
    <w:rsid w:val="00076A08"/>
    <w:rsid w:val="00080FBE"/>
    <w:rsid w:val="00082263"/>
    <w:rsid w:val="00082B85"/>
    <w:rsid w:val="00083F5B"/>
    <w:rsid w:val="000841EC"/>
    <w:rsid w:val="0008438B"/>
    <w:rsid w:val="0008517F"/>
    <w:rsid w:val="000874B5"/>
    <w:rsid w:val="00087ABD"/>
    <w:rsid w:val="00087EA4"/>
    <w:rsid w:val="000927BF"/>
    <w:rsid w:val="00095287"/>
    <w:rsid w:val="00095871"/>
    <w:rsid w:val="00096889"/>
    <w:rsid w:val="00097F3A"/>
    <w:rsid w:val="000A0435"/>
    <w:rsid w:val="000A0797"/>
    <w:rsid w:val="000A1122"/>
    <w:rsid w:val="000A288D"/>
    <w:rsid w:val="000A3A8B"/>
    <w:rsid w:val="000A3BF8"/>
    <w:rsid w:val="000A535E"/>
    <w:rsid w:val="000A5D68"/>
    <w:rsid w:val="000B0858"/>
    <w:rsid w:val="000B1083"/>
    <w:rsid w:val="000B1851"/>
    <w:rsid w:val="000B2D84"/>
    <w:rsid w:val="000B375D"/>
    <w:rsid w:val="000B3D96"/>
    <w:rsid w:val="000B4470"/>
    <w:rsid w:val="000B6908"/>
    <w:rsid w:val="000B7524"/>
    <w:rsid w:val="000B7945"/>
    <w:rsid w:val="000B7D15"/>
    <w:rsid w:val="000C03DF"/>
    <w:rsid w:val="000C0B0F"/>
    <w:rsid w:val="000C0DC9"/>
    <w:rsid w:val="000C2201"/>
    <w:rsid w:val="000C538A"/>
    <w:rsid w:val="000C54E4"/>
    <w:rsid w:val="000C66A2"/>
    <w:rsid w:val="000C6AF5"/>
    <w:rsid w:val="000C6D9C"/>
    <w:rsid w:val="000D0F64"/>
    <w:rsid w:val="000D1CB9"/>
    <w:rsid w:val="000D2500"/>
    <w:rsid w:val="000D45C7"/>
    <w:rsid w:val="000D45F8"/>
    <w:rsid w:val="000D4AC6"/>
    <w:rsid w:val="000D4B96"/>
    <w:rsid w:val="000D6205"/>
    <w:rsid w:val="000D6542"/>
    <w:rsid w:val="000D6B0A"/>
    <w:rsid w:val="000D7499"/>
    <w:rsid w:val="000E1276"/>
    <w:rsid w:val="000E28BC"/>
    <w:rsid w:val="000E3575"/>
    <w:rsid w:val="000E40FE"/>
    <w:rsid w:val="000E5B70"/>
    <w:rsid w:val="000E6011"/>
    <w:rsid w:val="000E625B"/>
    <w:rsid w:val="000F06FD"/>
    <w:rsid w:val="000F0967"/>
    <w:rsid w:val="000F0BBB"/>
    <w:rsid w:val="000F0EF8"/>
    <w:rsid w:val="000F1612"/>
    <w:rsid w:val="000F2BAE"/>
    <w:rsid w:val="000F54DE"/>
    <w:rsid w:val="000F5D4A"/>
    <w:rsid w:val="0010197C"/>
    <w:rsid w:val="0010283A"/>
    <w:rsid w:val="00104701"/>
    <w:rsid w:val="00104AB6"/>
    <w:rsid w:val="00105AD0"/>
    <w:rsid w:val="0010629D"/>
    <w:rsid w:val="0010687E"/>
    <w:rsid w:val="001073A4"/>
    <w:rsid w:val="001117EE"/>
    <w:rsid w:val="00111A8D"/>
    <w:rsid w:val="00111E46"/>
    <w:rsid w:val="00112CDB"/>
    <w:rsid w:val="0011416C"/>
    <w:rsid w:val="00116711"/>
    <w:rsid w:val="00117E65"/>
    <w:rsid w:val="00123007"/>
    <w:rsid w:val="00123F86"/>
    <w:rsid w:val="00124789"/>
    <w:rsid w:val="00125987"/>
    <w:rsid w:val="0012617F"/>
    <w:rsid w:val="00127E25"/>
    <w:rsid w:val="001309EA"/>
    <w:rsid w:val="00131087"/>
    <w:rsid w:val="00131B9F"/>
    <w:rsid w:val="00131D35"/>
    <w:rsid w:val="00135658"/>
    <w:rsid w:val="00135BA3"/>
    <w:rsid w:val="00136350"/>
    <w:rsid w:val="00140424"/>
    <w:rsid w:val="00140670"/>
    <w:rsid w:val="0014106A"/>
    <w:rsid w:val="0014220E"/>
    <w:rsid w:val="001427E3"/>
    <w:rsid w:val="00142A1A"/>
    <w:rsid w:val="00144A51"/>
    <w:rsid w:val="00144AF9"/>
    <w:rsid w:val="00144CF9"/>
    <w:rsid w:val="00146D21"/>
    <w:rsid w:val="00146E0C"/>
    <w:rsid w:val="00151C8C"/>
    <w:rsid w:val="00152926"/>
    <w:rsid w:val="00152D22"/>
    <w:rsid w:val="00152F84"/>
    <w:rsid w:val="001531E6"/>
    <w:rsid w:val="00153E7C"/>
    <w:rsid w:val="00154230"/>
    <w:rsid w:val="0015490B"/>
    <w:rsid w:val="00155581"/>
    <w:rsid w:val="00156928"/>
    <w:rsid w:val="001569C8"/>
    <w:rsid w:val="00156EB9"/>
    <w:rsid w:val="001579F5"/>
    <w:rsid w:val="00160C26"/>
    <w:rsid w:val="001624FE"/>
    <w:rsid w:val="001629F6"/>
    <w:rsid w:val="001647C5"/>
    <w:rsid w:val="00164A56"/>
    <w:rsid w:val="0016784A"/>
    <w:rsid w:val="00167C05"/>
    <w:rsid w:val="00171175"/>
    <w:rsid w:val="00171C47"/>
    <w:rsid w:val="00171CCB"/>
    <w:rsid w:val="00171F47"/>
    <w:rsid w:val="00172916"/>
    <w:rsid w:val="00173224"/>
    <w:rsid w:val="001736EC"/>
    <w:rsid w:val="0017402A"/>
    <w:rsid w:val="001740ED"/>
    <w:rsid w:val="001746E9"/>
    <w:rsid w:val="001760E2"/>
    <w:rsid w:val="001768B4"/>
    <w:rsid w:val="001777A5"/>
    <w:rsid w:val="001808EB"/>
    <w:rsid w:val="001815F6"/>
    <w:rsid w:val="001859E1"/>
    <w:rsid w:val="00185ED6"/>
    <w:rsid w:val="00186431"/>
    <w:rsid w:val="00186C78"/>
    <w:rsid w:val="001870CC"/>
    <w:rsid w:val="00187E98"/>
    <w:rsid w:val="00190FA6"/>
    <w:rsid w:val="001910E6"/>
    <w:rsid w:val="001913E9"/>
    <w:rsid w:val="00191D0B"/>
    <w:rsid w:val="00192230"/>
    <w:rsid w:val="00193414"/>
    <w:rsid w:val="00193AEA"/>
    <w:rsid w:val="00194C8D"/>
    <w:rsid w:val="00195EFA"/>
    <w:rsid w:val="00196476"/>
    <w:rsid w:val="0019709C"/>
    <w:rsid w:val="00197A99"/>
    <w:rsid w:val="001A0063"/>
    <w:rsid w:val="001A236F"/>
    <w:rsid w:val="001A2A0F"/>
    <w:rsid w:val="001A2F47"/>
    <w:rsid w:val="001A4134"/>
    <w:rsid w:val="001A5275"/>
    <w:rsid w:val="001A5459"/>
    <w:rsid w:val="001A55AB"/>
    <w:rsid w:val="001A793C"/>
    <w:rsid w:val="001B056C"/>
    <w:rsid w:val="001B08DC"/>
    <w:rsid w:val="001B0E16"/>
    <w:rsid w:val="001B2EDB"/>
    <w:rsid w:val="001B5ED8"/>
    <w:rsid w:val="001B63D4"/>
    <w:rsid w:val="001B6E23"/>
    <w:rsid w:val="001B71D3"/>
    <w:rsid w:val="001B7403"/>
    <w:rsid w:val="001B77F8"/>
    <w:rsid w:val="001C0092"/>
    <w:rsid w:val="001C1F33"/>
    <w:rsid w:val="001C491D"/>
    <w:rsid w:val="001C49CD"/>
    <w:rsid w:val="001C5715"/>
    <w:rsid w:val="001C5E48"/>
    <w:rsid w:val="001C613B"/>
    <w:rsid w:val="001C645D"/>
    <w:rsid w:val="001C7352"/>
    <w:rsid w:val="001D002C"/>
    <w:rsid w:val="001D0D00"/>
    <w:rsid w:val="001D1376"/>
    <w:rsid w:val="001D1F7B"/>
    <w:rsid w:val="001D2A64"/>
    <w:rsid w:val="001D3FB4"/>
    <w:rsid w:val="001D4AFE"/>
    <w:rsid w:val="001D4BFC"/>
    <w:rsid w:val="001D51FD"/>
    <w:rsid w:val="001D5893"/>
    <w:rsid w:val="001D6B24"/>
    <w:rsid w:val="001D741F"/>
    <w:rsid w:val="001E032E"/>
    <w:rsid w:val="001E23EB"/>
    <w:rsid w:val="001E4827"/>
    <w:rsid w:val="001E5DD9"/>
    <w:rsid w:val="001E7C16"/>
    <w:rsid w:val="001F112A"/>
    <w:rsid w:val="001F1153"/>
    <w:rsid w:val="001F260A"/>
    <w:rsid w:val="001F2886"/>
    <w:rsid w:val="001F420B"/>
    <w:rsid w:val="001F5265"/>
    <w:rsid w:val="001F52ED"/>
    <w:rsid w:val="001F6311"/>
    <w:rsid w:val="00200067"/>
    <w:rsid w:val="00200F50"/>
    <w:rsid w:val="002012F1"/>
    <w:rsid w:val="00201508"/>
    <w:rsid w:val="002033E3"/>
    <w:rsid w:val="00203546"/>
    <w:rsid w:val="002038B0"/>
    <w:rsid w:val="0020575B"/>
    <w:rsid w:val="00206788"/>
    <w:rsid w:val="00206D51"/>
    <w:rsid w:val="00207E38"/>
    <w:rsid w:val="002145B0"/>
    <w:rsid w:val="002147E9"/>
    <w:rsid w:val="00216527"/>
    <w:rsid w:val="00216F32"/>
    <w:rsid w:val="00217041"/>
    <w:rsid w:val="00220532"/>
    <w:rsid w:val="00220F9B"/>
    <w:rsid w:val="0022291E"/>
    <w:rsid w:val="00224530"/>
    <w:rsid w:val="00224A9B"/>
    <w:rsid w:val="00225773"/>
    <w:rsid w:val="00227153"/>
    <w:rsid w:val="00231425"/>
    <w:rsid w:val="0023306C"/>
    <w:rsid w:val="00233709"/>
    <w:rsid w:val="0023400D"/>
    <w:rsid w:val="0023546D"/>
    <w:rsid w:val="002370B8"/>
    <w:rsid w:val="002372C4"/>
    <w:rsid w:val="0024124E"/>
    <w:rsid w:val="00241876"/>
    <w:rsid w:val="002422D6"/>
    <w:rsid w:val="0024534B"/>
    <w:rsid w:val="00247038"/>
    <w:rsid w:val="00251570"/>
    <w:rsid w:val="00251F3A"/>
    <w:rsid w:val="00252609"/>
    <w:rsid w:val="00254399"/>
    <w:rsid w:val="002550D5"/>
    <w:rsid w:val="00256AC8"/>
    <w:rsid w:val="00260EC7"/>
    <w:rsid w:val="002611EA"/>
    <w:rsid w:val="00261747"/>
    <w:rsid w:val="002619FE"/>
    <w:rsid w:val="00261C56"/>
    <w:rsid w:val="0026228F"/>
    <w:rsid w:val="002632FA"/>
    <w:rsid w:val="00264766"/>
    <w:rsid w:val="00264C1D"/>
    <w:rsid w:val="00266DA6"/>
    <w:rsid w:val="002670FB"/>
    <w:rsid w:val="0026716C"/>
    <w:rsid w:val="002709D9"/>
    <w:rsid w:val="00272084"/>
    <w:rsid w:val="00272154"/>
    <w:rsid w:val="002722E4"/>
    <w:rsid w:val="00273C7E"/>
    <w:rsid w:val="002742D3"/>
    <w:rsid w:val="0027517F"/>
    <w:rsid w:val="002770FB"/>
    <w:rsid w:val="0027797C"/>
    <w:rsid w:val="0028022F"/>
    <w:rsid w:val="00280490"/>
    <w:rsid w:val="0028175B"/>
    <w:rsid w:val="00281A5F"/>
    <w:rsid w:val="00282269"/>
    <w:rsid w:val="002858FC"/>
    <w:rsid w:val="00286DD1"/>
    <w:rsid w:val="002878D0"/>
    <w:rsid w:val="00290F38"/>
    <w:rsid w:val="0029149A"/>
    <w:rsid w:val="0029340B"/>
    <w:rsid w:val="00293EC1"/>
    <w:rsid w:val="00294D8E"/>
    <w:rsid w:val="00297A58"/>
    <w:rsid w:val="00297D32"/>
    <w:rsid w:val="002A06A3"/>
    <w:rsid w:val="002A0706"/>
    <w:rsid w:val="002A0CD7"/>
    <w:rsid w:val="002A1ED4"/>
    <w:rsid w:val="002A23A5"/>
    <w:rsid w:val="002A32CB"/>
    <w:rsid w:val="002A4FE4"/>
    <w:rsid w:val="002A7A15"/>
    <w:rsid w:val="002A7E14"/>
    <w:rsid w:val="002B02D6"/>
    <w:rsid w:val="002B08E5"/>
    <w:rsid w:val="002B0DE6"/>
    <w:rsid w:val="002B0E49"/>
    <w:rsid w:val="002B10F4"/>
    <w:rsid w:val="002B2900"/>
    <w:rsid w:val="002B2B15"/>
    <w:rsid w:val="002B2C7D"/>
    <w:rsid w:val="002B3844"/>
    <w:rsid w:val="002B3CCA"/>
    <w:rsid w:val="002B421C"/>
    <w:rsid w:val="002B50BB"/>
    <w:rsid w:val="002B794C"/>
    <w:rsid w:val="002B7CD8"/>
    <w:rsid w:val="002B7E30"/>
    <w:rsid w:val="002C19BC"/>
    <w:rsid w:val="002C1D23"/>
    <w:rsid w:val="002C1F2B"/>
    <w:rsid w:val="002C24CB"/>
    <w:rsid w:val="002C331C"/>
    <w:rsid w:val="002C33F7"/>
    <w:rsid w:val="002C5ACE"/>
    <w:rsid w:val="002C6D75"/>
    <w:rsid w:val="002C7039"/>
    <w:rsid w:val="002C7310"/>
    <w:rsid w:val="002D0288"/>
    <w:rsid w:val="002D16B3"/>
    <w:rsid w:val="002D1C24"/>
    <w:rsid w:val="002D3A11"/>
    <w:rsid w:val="002D630A"/>
    <w:rsid w:val="002D74F0"/>
    <w:rsid w:val="002D75C1"/>
    <w:rsid w:val="002E3B6A"/>
    <w:rsid w:val="002E409B"/>
    <w:rsid w:val="002E65E2"/>
    <w:rsid w:val="002E6727"/>
    <w:rsid w:val="002E6D23"/>
    <w:rsid w:val="002F0309"/>
    <w:rsid w:val="002F0C0A"/>
    <w:rsid w:val="002F29A9"/>
    <w:rsid w:val="002F2E34"/>
    <w:rsid w:val="002F3461"/>
    <w:rsid w:val="002F4B19"/>
    <w:rsid w:val="002F54DC"/>
    <w:rsid w:val="002F5980"/>
    <w:rsid w:val="00300617"/>
    <w:rsid w:val="0030063D"/>
    <w:rsid w:val="003009E9"/>
    <w:rsid w:val="003014F7"/>
    <w:rsid w:val="00301A20"/>
    <w:rsid w:val="00302853"/>
    <w:rsid w:val="00302903"/>
    <w:rsid w:val="00302C42"/>
    <w:rsid w:val="00304AFE"/>
    <w:rsid w:val="00304DCC"/>
    <w:rsid w:val="00305DF3"/>
    <w:rsid w:val="00305E8F"/>
    <w:rsid w:val="00307123"/>
    <w:rsid w:val="0030742E"/>
    <w:rsid w:val="00307E30"/>
    <w:rsid w:val="003105E8"/>
    <w:rsid w:val="00310970"/>
    <w:rsid w:val="00310E1F"/>
    <w:rsid w:val="00313E8D"/>
    <w:rsid w:val="00314012"/>
    <w:rsid w:val="003141C9"/>
    <w:rsid w:val="0031651A"/>
    <w:rsid w:val="00316624"/>
    <w:rsid w:val="00321BDB"/>
    <w:rsid w:val="003225A2"/>
    <w:rsid w:val="003232E4"/>
    <w:rsid w:val="003238D4"/>
    <w:rsid w:val="00325456"/>
    <w:rsid w:val="00327C8C"/>
    <w:rsid w:val="003314B2"/>
    <w:rsid w:val="00331736"/>
    <w:rsid w:val="003319E9"/>
    <w:rsid w:val="00331EDA"/>
    <w:rsid w:val="0033234D"/>
    <w:rsid w:val="003335C4"/>
    <w:rsid w:val="00340269"/>
    <w:rsid w:val="00340532"/>
    <w:rsid w:val="00341306"/>
    <w:rsid w:val="0034235F"/>
    <w:rsid w:val="00342555"/>
    <w:rsid w:val="00343925"/>
    <w:rsid w:val="003440DF"/>
    <w:rsid w:val="0034448C"/>
    <w:rsid w:val="00345202"/>
    <w:rsid w:val="003464F0"/>
    <w:rsid w:val="00350A50"/>
    <w:rsid w:val="0035498B"/>
    <w:rsid w:val="00355941"/>
    <w:rsid w:val="0035797A"/>
    <w:rsid w:val="003605A8"/>
    <w:rsid w:val="00360D38"/>
    <w:rsid w:val="00363BE6"/>
    <w:rsid w:val="00363C18"/>
    <w:rsid w:val="0036547F"/>
    <w:rsid w:val="00367956"/>
    <w:rsid w:val="00370BF4"/>
    <w:rsid w:val="00373083"/>
    <w:rsid w:val="003739E4"/>
    <w:rsid w:val="00373FF8"/>
    <w:rsid w:val="003744D4"/>
    <w:rsid w:val="00375DCE"/>
    <w:rsid w:val="00376770"/>
    <w:rsid w:val="00377095"/>
    <w:rsid w:val="00377F41"/>
    <w:rsid w:val="00382DB9"/>
    <w:rsid w:val="0038337F"/>
    <w:rsid w:val="00384A60"/>
    <w:rsid w:val="00384A94"/>
    <w:rsid w:val="003860FD"/>
    <w:rsid w:val="00386ED3"/>
    <w:rsid w:val="00387168"/>
    <w:rsid w:val="00387F1C"/>
    <w:rsid w:val="003902CC"/>
    <w:rsid w:val="00390571"/>
    <w:rsid w:val="003923AC"/>
    <w:rsid w:val="00392C69"/>
    <w:rsid w:val="00395FFC"/>
    <w:rsid w:val="003960B1"/>
    <w:rsid w:val="003962F4"/>
    <w:rsid w:val="00396E3C"/>
    <w:rsid w:val="00397AF4"/>
    <w:rsid w:val="00397DD6"/>
    <w:rsid w:val="003A08D8"/>
    <w:rsid w:val="003A170A"/>
    <w:rsid w:val="003A1CDE"/>
    <w:rsid w:val="003A23DA"/>
    <w:rsid w:val="003A3364"/>
    <w:rsid w:val="003A36CA"/>
    <w:rsid w:val="003A4022"/>
    <w:rsid w:val="003A42F6"/>
    <w:rsid w:val="003A49E5"/>
    <w:rsid w:val="003A5376"/>
    <w:rsid w:val="003A58C5"/>
    <w:rsid w:val="003A6A7A"/>
    <w:rsid w:val="003A6DD8"/>
    <w:rsid w:val="003A6EF7"/>
    <w:rsid w:val="003B158E"/>
    <w:rsid w:val="003B189D"/>
    <w:rsid w:val="003B18FB"/>
    <w:rsid w:val="003B4E2B"/>
    <w:rsid w:val="003B552D"/>
    <w:rsid w:val="003B58F8"/>
    <w:rsid w:val="003B7BFB"/>
    <w:rsid w:val="003C0152"/>
    <w:rsid w:val="003C05C9"/>
    <w:rsid w:val="003C0A04"/>
    <w:rsid w:val="003C23F5"/>
    <w:rsid w:val="003C38F8"/>
    <w:rsid w:val="003C551F"/>
    <w:rsid w:val="003C59A6"/>
    <w:rsid w:val="003D11BF"/>
    <w:rsid w:val="003D190B"/>
    <w:rsid w:val="003D4037"/>
    <w:rsid w:val="003D42A3"/>
    <w:rsid w:val="003D521B"/>
    <w:rsid w:val="003D535D"/>
    <w:rsid w:val="003D5AC8"/>
    <w:rsid w:val="003D70B4"/>
    <w:rsid w:val="003E0B90"/>
    <w:rsid w:val="003E3AD3"/>
    <w:rsid w:val="003E3B22"/>
    <w:rsid w:val="003E4293"/>
    <w:rsid w:val="003E79F4"/>
    <w:rsid w:val="003E7B1A"/>
    <w:rsid w:val="003E7F97"/>
    <w:rsid w:val="003F1B89"/>
    <w:rsid w:val="003F2A39"/>
    <w:rsid w:val="003F2F59"/>
    <w:rsid w:val="003F2FAE"/>
    <w:rsid w:val="003F3663"/>
    <w:rsid w:val="003F6451"/>
    <w:rsid w:val="003F7FFE"/>
    <w:rsid w:val="00400626"/>
    <w:rsid w:val="004010F8"/>
    <w:rsid w:val="00401898"/>
    <w:rsid w:val="00401B64"/>
    <w:rsid w:val="004031AD"/>
    <w:rsid w:val="00404161"/>
    <w:rsid w:val="0040478D"/>
    <w:rsid w:val="004057D6"/>
    <w:rsid w:val="00405C74"/>
    <w:rsid w:val="00412816"/>
    <w:rsid w:val="0041354A"/>
    <w:rsid w:val="00415B8B"/>
    <w:rsid w:val="0041781D"/>
    <w:rsid w:val="00420580"/>
    <w:rsid w:val="00421543"/>
    <w:rsid w:val="004215CC"/>
    <w:rsid w:val="00421E46"/>
    <w:rsid w:val="00422DD2"/>
    <w:rsid w:val="00423A84"/>
    <w:rsid w:val="004251D8"/>
    <w:rsid w:val="00425424"/>
    <w:rsid w:val="00431401"/>
    <w:rsid w:val="00432833"/>
    <w:rsid w:val="00432A3F"/>
    <w:rsid w:val="00433033"/>
    <w:rsid w:val="00434AA3"/>
    <w:rsid w:val="0043588C"/>
    <w:rsid w:val="00436D4A"/>
    <w:rsid w:val="00440ECE"/>
    <w:rsid w:val="0044208F"/>
    <w:rsid w:val="004427E2"/>
    <w:rsid w:val="00444464"/>
    <w:rsid w:val="00446488"/>
    <w:rsid w:val="004469A8"/>
    <w:rsid w:val="00446E72"/>
    <w:rsid w:val="004501C1"/>
    <w:rsid w:val="00450751"/>
    <w:rsid w:val="00451330"/>
    <w:rsid w:val="0045187B"/>
    <w:rsid w:val="00452185"/>
    <w:rsid w:val="0045305B"/>
    <w:rsid w:val="0045332B"/>
    <w:rsid w:val="00454239"/>
    <w:rsid w:val="004551E2"/>
    <w:rsid w:val="004559AA"/>
    <w:rsid w:val="00455E55"/>
    <w:rsid w:val="00455F10"/>
    <w:rsid w:val="004568CC"/>
    <w:rsid w:val="004568EE"/>
    <w:rsid w:val="00456923"/>
    <w:rsid w:val="00456A4C"/>
    <w:rsid w:val="004571D1"/>
    <w:rsid w:val="00457ECB"/>
    <w:rsid w:val="0046075F"/>
    <w:rsid w:val="00464FC4"/>
    <w:rsid w:val="00466C29"/>
    <w:rsid w:val="00467F52"/>
    <w:rsid w:val="004704BB"/>
    <w:rsid w:val="00470D67"/>
    <w:rsid w:val="004735C4"/>
    <w:rsid w:val="00477939"/>
    <w:rsid w:val="0048050D"/>
    <w:rsid w:val="004824AF"/>
    <w:rsid w:val="0048510F"/>
    <w:rsid w:val="00485124"/>
    <w:rsid w:val="00486BC6"/>
    <w:rsid w:val="00487773"/>
    <w:rsid w:val="00491D39"/>
    <w:rsid w:val="00492C40"/>
    <w:rsid w:val="004937E8"/>
    <w:rsid w:val="00493B01"/>
    <w:rsid w:val="0049521F"/>
    <w:rsid w:val="00495925"/>
    <w:rsid w:val="004A03C6"/>
    <w:rsid w:val="004A1459"/>
    <w:rsid w:val="004A2E2C"/>
    <w:rsid w:val="004A2FB2"/>
    <w:rsid w:val="004A63F3"/>
    <w:rsid w:val="004A6924"/>
    <w:rsid w:val="004A69F3"/>
    <w:rsid w:val="004B0575"/>
    <w:rsid w:val="004B2D25"/>
    <w:rsid w:val="004B2D2F"/>
    <w:rsid w:val="004B3F9B"/>
    <w:rsid w:val="004B476C"/>
    <w:rsid w:val="004B543A"/>
    <w:rsid w:val="004B5482"/>
    <w:rsid w:val="004B54A8"/>
    <w:rsid w:val="004B5E26"/>
    <w:rsid w:val="004B5F19"/>
    <w:rsid w:val="004B63A3"/>
    <w:rsid w:val="004B65A1"/>
    <w:rsid w:val="004C0C56"/>
    <w:rsid w:val="004C293D"/>
    <w:rsid w:val="004C2A2E"/>
    <w:rsid w:val="004C36B9"/>
    <w:rsid w:val="004C4A27"/>
    <w:rsid w:val="004C5498"/>
    <w:rsid w:val="004C5511"/>
    <w:rsid w:val="004C55E4"/>
    <w:rsid w:val="004C583A"/>
    <w:rsid w:val="004C7873"/>
    <w:rsid w:val="004C79D7"/>
    <w:rsid w:val="004D04F6"/>
    <w:rsid w:val="004D1628"/>
    <w:rsid w:val="004D1AC5"/>
    <w:rsid w:val="004D243C"/>
    <w:rsid w:val="004D26A2"/>
    <w:rsid w:val="004D3AC2"/>
    <w:rsid w:val="004D3AF9"/>
    <w:rsid w:val="004D3E38"/>
    <w:rsid w:val="004D4418"/>
    <w:rsid w:val="004D45DA"/>
    <w:rsid w:val="004D495F"/>
    <w:rsid w:val="004D614D"/>
    <w:rsid w:val="004D7117"/>
    <w:rsid w:val="004E00EB"/>
    <w:rsid w:val="004E05C2"/>
    <w:rsid w:val="004E10B5"/>
    <w:rsid w:val="004E317A"/>
    <w:rsid w:val="004E3225"/>
    <w:rsid w:val="004E326A"/>
    <w:rsid w:val="004E5517"/>
    <w:rsid w:val="004E5581"/>
    <w:rsid w:val="004E566A"/>
    <w:rsid w:val="004E59B6"/>
    <w:rsid w:val="004E5B23"/>
    <w:rsid w:val="004E618B"/>
    <w:rsid w:val="004E6627"/>
    <w:rsid w:val="004E6D60"/>
    <w:rsid w:val="004E7B9D"/>
    <w:rsid w:val="004F16F2"/>
    <w:rsid w:val="004F188A"/>
    <w:rsid w:val="004F2A21"/>
    <w:rsid w:val="004F2E6A"/>
    <w:rsid w:val="004F34EB"/>
    <w:rsid w:val="004F3B6F"/>
    <w:rsid w:val="004F4AF9"/>
    <w:rsid w:val="004F4FA9"/>
    <w:rsid w:val="004F5B04"/>
    <w:rsid w:val="004F77BA"/>
    <w:rsid w:val="005004E5"/>
    <w:rsid w:val="005015FA"/>
    <w:rsid w:val="00501905"/>
    <w:rsid w:val="00501A5B"/>
    <w:rsid w:val="00501B03"/>
    <w:rsid w:val="00502B0E"/>
    <w:rsid w:val="00502B55"/>
    <w:rsid w:val="005038EB"/>
    <w:rsid w:val="0050528F"/>
    <w:rsid w:val="005055DB"/>
    <w:rsid w:val="00505987"/>
    <w:rsid w:val="0050618A"/>
    <w:rsid w:val="00506552"/>
    <w:rsid w:val="00507978"/>
    <w:rsid w:val="00507D4C"/>
    <w:rsid w:val="00507FD3"/>
    <w:rsid w:val="005106D1"/>
    <w:rsid w:val="00512A3C"/>
    <w:rsid w:val="00513AE6"/>
    <w:rsid w:val="00514F2C"/>
    <w:rsid w:val="005176CC"/>
    <w:rsid w:val="00517AF6"/>
    <w:rsid w:val="005210BD"/>
    <w:rsid w:val="005221D1"/>
    <w:rsid w:val="0052294B"/>
    <w:rsid w:val="00522CCE"/>
    <w:rsid w:val="00523926"/>
    <w:rsid w:val="005243A0"/>
    <w:rsid w:val="0052633E"/>
    <w:rsid w:val="00526390"/>
    <w:rsid w:val="00526CF9"/>
    <w:rsid w:val="00527562"/>
    <w:rsid w:val="00527EAA"/>
    <w:rsid w:val="00531548"/>
    <w:rsid w:val="00531BB1"/>
    <w:rsid w:val="00531C96"/>
    <w:rsid w:val="00532310"/>
    <w:rsid w:val="0053266D"/>
    <w:rsid w:val="00532924"/>
    <w:rsid w:val="00533891"/>
    <w:rsid w:val="00535A0A"/>
    <w:rsid w:val="005377F2"/>
    <w:rsid w:val="00537D53"/>
    <w:rsid w:val="00537E8E"/>
    <w:rsid w:val="005406EC"/>
    <w:rsid w:val="005407D5"/>
    <w:rsid w:val="00540AC7"/>
    <w:rsid w:val="00540C1B"/>
    <w:rsid w:val="00541144"/>
    <w:rsid w:val="00543D4F"/>
    <w:rsid w:val="00545117"/>
    <w:rsid w:val="00545CC6"/>
    <w:rsid w:val="005470EC"/>
    <w:rsid w:val="00550522"/>
    <w:rsid w:val="00550589"/>
    <w:rsid w:val="00550B1A"/>
    <w:rsid w:val="005519EB"/>
    <w:rsid w:val="00552D92"/>
    <w:rsid w:val="00553935"/>
    <w:rsid w:val="00553A75"/>
    <w:rsid w:val="00553AD6"/>
    <w:rsid w:val="00553BA4"/>
    <w:rsid w:val="00553E2A"/>
    <w:rsid w:val="00554861"/>
    <w:rsid w:val="00555E3C"/>
    <w:rsid w:val="005562FA"/>
    <w:rsid w:val="00556AB1"/>
    <w:rsid w:val="00560888"/>
    <w:rsid w:val="00560FA9"/>
    <w:rsid w:val="005618C2"/>
    <w:rsid w:val="0056305F"/>
    <w:rsid w:val="005635BC"/>
    <w:rsid w:val="0056576F"/>
    <w:rsid w:val="00565D9B"/>
    <w:rsid w:val="00565E82"/>
    <w:rsid w:val="00566EDC"/>
    <w:rsid w:val="005705CF"/>
    <w:rsid w:val="00570ECF"/>
    <w:rsid w:val="00570FC9"/>
    <w:rsid w:val="00571A8E"/>
    <w:rsid w:val="00571C91"/>
    <w:rsid w:val="00572ADE"/>
    <w:rsid w:val="00572D5C"/>
    <w:rsid w:val="0057466B"/>
    <w:rsid w:val="00576658"/>
    <w:rsid w:val="005774A3"/>
    <w:rsid w:val="00580B6D"/>
    <w:rsid w:val="00581A13"/>
    <w:rsid w:val="00582416"/>
    <w:rsid w:val="00582844"/>
    <w:rsid w:val="00583A54"/>
    <w:rsid w:val="00585038"/>
    <w:rsid w:val="005864EB"/>
    <w:rsid w:val="00586565"/>
    <w:rsid w:val="00586DC5"/>
    <w:rsid w:val="005872C6"/>
    <w:rsid w:val="005906F4"/>
    <w:rsid w:val="00590D8B"/>
    <w:rsid w:val="00592518"/>
    <w:rsid w:val="00592CB1"/>
    <w:rsid w:val="00593263"/>
    <w:rsid w:val="005933AC"/>
    <w:rsid w:val="00593A47"/>
    <w:rsid w:val="00593B94"/>
    <w:rsid w:val="00593F90"/>
    <w:rsid w:val="00594331"/>
    <w:rsid w:val="005946E4"/>
    <w:rsid w:val="00594A44"/>
    <w:rsid w:val="00595157"/>
    <w:rsid w:val="0059706A"/>
    <w:rsid w:val="005A0DE6"/>
    <w:rsid w:val="005A168A"/>
    <w:rsid w:val="005A4714"/>
    <w:rsid w:val="005A48D7"/>
    <w:rsid w:val="005A4B06"/>
    <w:rsid w:val="005A4E33"/>
    <w:rsid w:val="005A50E9"/>
    <w:rsid w:val="005A57E8"/>
    <w:rsid w:val="005A7F32"/>
    <w:rsid w:val="005B01D6"/>
    <w:rsid w:val="005B0D75"/>
    <w:rsid w:val="005B2909"/>
    <w:rsid w:val="005B46D9"/>
    <w:rsid w:val="005B4DCE"/>
    <w:rsid w:val="005B58E8"/>
    <w:rsid w:val="005B638A"/>
    <w:rsid w:val="005B690D"/>
    <w:rsid w:val="005B7262"/>
    <w:rsid w:val="005B7EFC"/>
    <w:rsid w:val="005C243B"/>
    <w:rsid w:val="005C2C16"/>
    <w:rsid w:val="005C385D"/>
    <w:rsid w:val="005C3BF6"/>
    <w:rsid w:val="005C46A2"/>
    <w:rsid w:val="005C52D0"/>
    <w:rsid w:val="005C5AE9"/>
    <w:rsid w:val="005C64B5"/>
    <w:rsid w:val="005C777E"/>
    <w:rsid w:val="005D196F"/>
    <w:rsid w:val="005D1D0C"/>
    <w:rsid w:val="005D212B"/>
    <w:rsid w:val="005D2711"/>
    <w:rsid w:val="005D3809"/>
    <w:rsid w:val="005D3BB0"/>
    <w:rsid w:val="005D4441"/>
    <w:rsid w:val="005D57AF"/>
    <w:rsid w:val="005E0114"/>
    <w:rsid w:val="005E286D"/>
    <w:rsid w:val="005E29F4"/>
    <w:rsid w:val="005E2B38"/>
    <w:rsid w:val="005E50FE"/>
    <w:rsid w:val="005E5EA8"/>
    <w:rsid w:val="005E78A8"/>
    <w:rsid w:val="005E7937"/>
    <w:rsid w:val="005F1B3C"/>
    <w:rsid w:val="005F2D8B"/>
    <w:rsid w:val="005F3EC0"/>
    <w:rsid w:val="005F6495"/>
    <w:rsid w:val="005F679C"/>
    <w:rsid w:val="005F7602"/>
    <w:rsid w:val="005F7FE1"/>
    <w:rsid w:val="006012B6"/>
    <w:rsid w:val="0060178F"/>
    <w:rsid w:val="006020FA"/>
    <w:rsid w:val="00603E64"/>
    <w:rsid w:val="00603FBF"/>
    <w:rsid w:val="006102D2"/>
    <w:rsid w:val="00610DE3"/>
    <w:rsid w:val="00611762"/>
    <w:rsid w:val="0061746E"/>
    <w:rsid w:val="00620568"/>
    <w:rsid w:val="00620F7C"/>
    <w:rsid w:val="006222ED"/>
    <w:rsid w:val="006229D9"/>
    <w:rsid w:val="00622FA9"/>
    <w:rsid w:val="0062484C"/>
    <w:rsid w:val="0062691F"/>
    <w:rsid w:val="00627690"/>
    <w:rsid w:val="00630EE3"/>
    <w:rsid w:val="006328B9"/>
    <w:rsid w:val="006336FC"/>
    <w:rsid w:val="006365D2"/>
    <w:rsid w:val="00636D2D"/>
    <w:rsid w:val="0064033D"/>
    <w:rsid w:val="00640D77"/>
    <w:rsid w:val="006410F9"/>
    <w:rsid w:val="00641B4A"/>
    <w:rsid w:val="00641FD7"/>
    <w:rsid w:val="00642730"/>
    <w:rsid w:val="0064292D"/>
    <w:rsid w:val="00642B1C"/>
    <w:rsid w:val="0064370D"/>
    <w:rsid w:val="00644C3A"/>
    <w:rsid w:val="00644E8E"/>
    <w:rsid w:val="0064537E"/>
    <w:rsid w:val="006453B4"/>
    <w:rsid w:val="00646818"/>
    <w:rsid w:val="00647FD7"/>
    <w:rsid w:val="00651530"/>
    <w:rsid w:val="0065269B"/>
    <w:rsid w:val="00652EC2"/>
    <w:rsid w:val="00654C62"/>
    <w:rsid w:val="00655947"/>
    <w:rsid w:val="00655A39"/>
    <w:rsid w:val="00656C52"/>
    <w:rsid w:val="00660C01"/>
    <w:rsid w:val="00660DE4"/>
    <w:rsid w:val="00661D13"/>
    <w:rsid w:val="00661F37"/>
    <w:rsid w:val="0066248C"/>
    <w:rsid w:val="00664473"/>
    <w:rsid w:val="006704B9"/>
    <w:rsid w:val="00670768"/>
    <w:rsid w:val="006717BA"/>
    <w:rsid w:val="00671979"/>
    <w:rsid w:val="0067257D"/>
    <w:rsid w:val="00673087"/>
    <w:rsid w:val="006730BA"/>
    <w:rsid w:val="006735A7"/>
    <w:rsid w:val="006755BA"/>
    <w:rsid w:val="00676B9D"/>
    <w:rsid w:val="006806F5"/>
    <w:rsid w:val="006810D7"/>
    <w:rsid w:val="00681724"/>
    <w:rsid w:val="00681F95"/>
    <w:rsid w:val="006823EE"/>
    <w:rsid w:val="00682D59"/>
    <w:rsid w:val="006831AD"/>
    <w:rsid w:val="00684760"/>
    <w:rsid w:val="00684A98"/>
    <w:rsid w:val="0068551F"/>
    <w:rsid w:val="0068758D"/>
    <w:rsid w:val="0068797F"/>
    <w:rsid w:val="00687EFB"/>
    <w:rsid w:val="00687EFD"/>
    <w:rsid w:val="00690E1A"/>
    <w:rsid w:val="006920F7"/>
    <w:rsid w:val="0069281F"/>
    <w:rsid w:val="00692F6A"/>
    <w:rsid w:val="00693DA5"/>
    <w:rsid w:val="0069479D"/>
    <w:rsid w:val="00695395"/>
    <w:rsid w:val="006970FC"/>
    <w:rsid w:val="00697AFB"/>
    <w:rsid w:val="00697DB0"/>
    <w:rsid w:val="006A0206"/>
    <w:rsid w:val="006A046A"/>
    <w:rsid w:val="006A04AA"/>
    <w:rsid w:val="006A2EA1"/>
    <w:rsid w:val="006A405B"/>
    <w:rsid w:val="006A6814"/>
    <w:rsid w:val="006A76ED"/>
    <w:rsid w:val="006B04F2"/>
    <w:rsid w:val="006B0E5C"/>
    <w:rsid w:val="006B118B"/>
    <w:rsid w:val="006B2284"/>
    <w:rsid w:val="006B2531"/>
    <w:rsid w:val="006B310A"/>
    <w:rsid w:val="006B33AD"/>
    <w:rsid w:val="006B4115"/>
    <w:rsid w:val="006B420F"/>
    <w:rsid w:val="006B444E"/>
    <w:rsid w:val="006B5654"/>
    <w:rsid w:val="006B5F8E"/>
    <w:rsid w:val="006B7A18"/>
    <w:rsid w:val="006C05AC"/>
    <w:rsid w:val="006C07EE"/>
    <w:rsid w:val="006C08C9"/>
    <w:rsid w:val="006C21A0"/>
    <w:rsid w:val="006C2892"/>
    <w:rsid w:val="006C3CD8"/>
    <w:rsid w:val="006C4B3E"/>
    <w:rsid w:val="006C667A"/>
    <w:rsid w:val="006D032E"/>
    <w:rsid w:val="006D03BC"/>
    <w:rsid w:val="006D0D14"/>
    <w:rsid w:val="006D0E97"/>
    <w:rsid w:val="006D1318"/>
    <w:rsid w:val="006D1986"/>
    <w:rsid w:val="006D1F65"/>
    <w:rsid w:val="006D2BE1"/>
    <w:rsid w:val="006D56FD"/>
    <w:rsid w:val="006D6AED"/>
    <w:rsid w:val="006D6B8A"/>
    <w:rsid w:val="006E031C"/>
    <w:rsid w:val="006E0B26"/>
    <w:rsid w:val="006E0C67"/>
    <w:rsid w:val="006E1404"/>
    <w:rsid w:val="006E2605"/>
    <w:rsid w:val="006E39B2"/>
    <w:rsid w:val="006E4DC3"/>
    <w:rsid w:val="006E62A6"/>
    <w:rsid w:val="006E69A3"/>
    <w:rsid w:val="006E6E5E"/>
    <w:rsid w:val="006F09D4"/>
    <w:rsid w:val="006F1999"/>
    <w:rsid w:val="006F4B9A"/>
    <w:rsid w:val="006F7121"/>
    <w:rsid w:val="006F7C50"/>
    <w:rsid w:val="00700651"/>
    <w:rsid w:val="00701B56"/>
    <w:rsid w:val="00704B7A"/>
    <w:rsid w:val="007053A6"/>
    <w:rsid w:val="00706EAC"/>
    <w:rsid w:val="007070A0"/>
    <w:rsid w:val="0070725D"/>
    <w:rsid w:val="00707CA7"/>
    <w:rsid w:val="00710925"/>
    <w:rsid w:val="00710C84"/>
    <w:rsid w:val="0071131F"/>
    <w:rsid w:val="0071182B"/>
    <w:rsid w:val="00711BFB"/>
    <w:rsid w:val="00712056"/>
    <w:rsid w:val="00712751"/>
    <w:rsid w:val="00713460"/>
    <w:rsid w:val="00713526"/>
    <w:rsid w:val="00713F7A"/>
    <w:rsid w:val="00715570"/>
    <w:rsid w:val="00716F6B"/>
    <w:rsid w:val="007173B9"/>
    <w:rsid w:val="00717D0E"/>
    <w:rsid w:val="0072267F"/>
    <w:rsid w:val="007237F9"/>
    <w:rsid w:val="0072383F"/>
    <w:rsid w:val="00723B1D"/>
    <w:rsid w:val="007255D8"/>
    <w:rsid w:val="00725701"/>
    <w:rsid w:val="00727100"/>
    <w:rsid w:val="00727DBD"/>
    <w:rsid w:val="00727E1A"/>
    <w:rsid w:val="007302A0"/>
    <w:rsid w:val="007309CA"/>
    <w:rsid w:val="00731311"/>
    <w:rsid w:val="00733128"/>
    <w:rsid w:val="00733738"/>
    <w:rsid w:val="007368EC"/>
    <w:rsid w:val="00736D48"/>
    <w:rsid w:val="00741774"/>
    <w:rsid w:val="007437D3"/>
    <w:rsid w:val="0074554E"/>
    <w:rsid w:val="00745557"/>
    <w:rsid w:val="00745892"/>
    <w:rsid w:val="0074724F"/>
    <w:rsid w:val="00747A8D"/>
    <w:rsid w:val="00750323"/>
    <w:rsid w:val="0075122E"/>
    <w:rsid w:val="00752BB7"/>
    <w:rsid w:val="007535DC"/>
    <w:rsid w:val="007539DF"/>
    <w:rsid w:val="00756CC1"/>
    <w:rsid w:val="00763502"/>
    <w:rsid w:val="00764FF7"/>
    <w:rsid w:val="00765030"/>
    <w:rsid w:val="007653E1"/>
    <w:rsid w:val="0076751D"/>
    <w:rsid w:val="00767778"/>
    <w:rsid w:val="00767B09"/>
    <w:rsid w:val="007704EE"/>
    <w:rsid w:val="0077090F"/>
    <w:rsid w:val="00770E35"/>
    <w:rsid w:val="00771D79"/>
    <w:rsid w:val="0077285E"/>
    <w:rsid w:val="00772A13"/>
    <w:rsid w:val="00773ED7"/>
    <w:rsid w:val="007754DC"/>
    <w:rsid w:val="00775935"/>
    <w:rsid w:val="00776B3D"/>
    <w:rsid w:val="007806C0"/>
    <w:rsid w:val="00782087"/>
    <w:rsid w:val="0078250C"/>
    <w:rsid w:val="0078371B"/>
    <w:rsid w:val="00784074"/>
    <w:rsid w:val="007843E7"/>
    <w:rsid w:val="0078444E"/>
    <w:rsid w:val="00786147"/>
    <w:rsid w:val="007903EC"/>
    <w:rsid w:val="00791B84"/>
    <w:rsid w:val="00792349"/>
    <w:rsid w:val="007925B6"/>
    <w:rsid w:val="00792863"/>
    <w:rsid w:val="00795233"/>
    <w:rsid w:val="007955DE"/>
    <w:rsid w:val="0079696C"/>
    <w:rsid w:val="007A09E3"/>
    <w:rsid w:val="007A1384"/>
    <w:rsid w:val="007A1C7F"/>
    <w:rsid w:val="007A22FF"/>
    <w:rsid w:val="007A39D1"/>
    <w:rsid w:val="007A4620"/>
    <w:rsid w:val="007A568A"/>
    <w:rsid w:val="007A6C18"/>
    <w:rsid w:val="007A6F26"/>
    <w:rsid w:val="007B00EE"/>
    <w:rsid w:val="007B135B"/>
    <w:rsid w:val="007B18D0"/>
    <w:rsid w:val="007B1DDC"/>
    <w:rsid w:val="007B2203"/>
    <w:rsid w:val="007B4885"/>
    <w:rsid w:val="007B631F"/>
    <w:rsid w:val="007B73C7"/>
    <w:rsid w:val="007C0392"/>
    <w:rsid w:val="007C0F0C"/>
    <w:rsid w:val="007C0F95"/>
    <w:rsid w:val="007C2B4C"/>
    <w:rsid w:val="007C305B"/>
    <w:rsid w:val="007C40AB"/>
    <w:rsid w:val="007C46EA"/>
    <w:rsid w:val="007C657D"/>
    <w:rsid w:val="007C6A2A"/>
    <w:rsid w:val="007C79F0"/>
    <w:rsid w:val="007D3829"/>
    <w:rsid w:val="007D3B11"/>
    <w:rsid w:val="007D41E8"/>
    <w:rsid w:val="007D49E4"/>
    <w:rsid w:val="007D4AAE"/>
    <w:rsid w:val="007D4ED0"/>
    <w:rsid w:val="007D52D2"/>
    <w:rsid w:val="007D5B7E"/>
    <w:rsid w:val="007D65E1"/>
    <w:rsid w:val="007E0F81"/>
    <w:rsid w:val="007E1587"/>
    <w:rsid w:val="007E1A98"/>
    <w:rsid w:val="007E1C15"/>
    <w:rsid w:val="007E2AEC"/>
    <w:rsid w:val="007E3913"/>
    <w:rsid w:val="007E4212"/>
    <w:rsid w:val="007E5D83"/>
    <w:rsid w:val="007E5EF3"/>
    <w:rsid w:val="007E7C10"/>
    <w:rsid w:val="007E7C95"/>
    <w:rsid w:val="007E7E0B"/>
    <w:rsid w:val="007F0AD5"/>
    <w:rsid w:val="007F1560"/>
    <w:rsid w:val="007F15C0"/>
    <w:rsid w:val="007F160B"/>
    <w:rsid w:val="007F16AE"/>
    <w:rsid w:val="007F188A"/>
    <w:rsid w:val="007F1D70"/>
    <w:rsid w:val="007F478D"/>
    <w:rsid w:val="007F57F8"/>
    <w:rsid w:val="007F69AF"/>
    <w:rsid w:val="007F7302"/>
    <w:rsid w:val="00800F49"/>
    <w:rsid w:val="0080340B"/>
    <w:rsid w:val="0080349B"/>
    <w:rsid w:val="00804CF4"/>
    <w:rsid w:val="00806932"/>
    <w:rsid w:val="0080724D"/>
    <w:rsid w:val="0081037E"/>
    <w:rsid w:val="008104FF"/>
    <w:rsid w:val="0081167E"/>
    <w:rsid w:val="008119CB"/>
    <w:rsid w:val="00812135"/>
    <w:rsid w:val="00812379"/>
    <w:rsid w:val="00812571"/>
    <w:rsid w:val="00812E26"/>
    <w:rsid w:val="00813874"/>
    <w:rsid w:val="008138E3"/>
    <w:rsid w:val="00813AD1"/>
    <w:rsid w:val="00817F79"/>
    <w:rsid w:val="00821209"/>
    <w:rsid w:val="008212A0"/>
    <w:rsid w:val="008216D3"/>
    <w:rsid w:val="0082170F"/>
    <w:rsid w:val="008219B3"/>
    <w:rsid w:val="008228AE"/>
    <w:rsid w:val="00822A92"/>
    <w:rsid w:val="00825E59"/>
    <w:rsid w:val="008260C5"/>
    <w:rsid w:val="008262A5"/>
    <w:rsid w:val="00826A7C"/>
    <w:rsid w:val="00826AB8"/>
    <w:rsid w:val="00827F0E"/>
    <w:rsid w:val="00833565"/>
    <w:rsid w:val="008360A7"/>
    <w:rsid w:val="00837760"/>
    <w:rsid w:val="0084166F"/>
    <w:rsid w:val="008430CA"/>
    <w:rsid w:val="008434D5"/>
    <w:rsid w:val="008435CB"/>
    <w:rsid w:val="00844831"/>
    <w:rsid w:val="008448BC"/>
    <w:rsid w:val="00845D7B"/>
    <w:rsid w:val="00845DCC"/>
    <w:rsid w:val="0084698D"/>
    <w:rsid w:val="00847BF9"/>
    <w:rsid w:val="0085129A"/>
    <w:rsid w:val="00853C5C"/>
    <w:rsid w:val="0085447E"/>
    <w:rsid w:val="00855452"/>
    <w:rsid w:val="0086100C"/>
    <w:rsid w:val="00861130"/>
    <w:rsid w:val="00861142"/>
    <w:rsid w:val="00861727"/>
    <w:rsid w:val="008623C4"/>
    <w:rsid w:val="008623CC"/>
    <w:rsid w:val="0086313D"/>
    <w:rsid w:val="008631AC"/>
    <w:rsid w:val="00863387"/>
    <w:rsid w:val="0086425C"/>
    <w:rsid w:val="00864F7D"/>
    <w:rsid w:val="0086656F"/>
    <w:rsid w:val="00867BEA"/>
    <w:rsid w:val="00870376"/>
    <w:rsid w:val="00870567"/>
    <w:rsid w:val="008711D4"/>
    <w:rsid w:val="008714DF"/>
    <w:rsid w:val="00871BF3"/>
    <w:rsid w:val="00872F8B"/>
    <w:rsid w:val="008732A1"/>
    <w:rsid w:val="0087376B"/>
    <w:rsid w:val="008738F6"/>
    <w:rsid w:val="0087488F"/>
    <w:rsid w:val="00876350"/>
    <w:rsid w:val="00876A49"/>
    <w:rsid w:val="00876C8E"/>
    <w:rsid w:val="00876F03"/>
    <w:rsid w:val="008773C7"/>
    <w:rsid w:val="00877951"/>
    <w:rsid w:val="008818EE"/>
    <w:rsid w:val="00881CB7"/>
    <w:rsid w:val="00881CF4"/>
    <w:rsid w:val="00883EFD"/>
    <w:rsid w:val="008847E9"/>
    <w:rsid w:val="008857EB"/>
    <w:rsid w:val="0088635C"/>
    <w:rsid w:val="00886798"/>
    <w:rsid w:val="008906E2"/>
    <w:rsid w:val="00891D5A"/>
    <w:rsid w:val="00892F14"/>
    <w:rsid w:val="008930D0"/>
    <w:rsid w:val="0089461B"/>
    <w:rsid w:val="00895AA1"/>
    <w:rsid w:val="008973F5"/>
    <w:rsid w:val="008A03DA"/>
    <w:rsid w:val="008A0C5C"/>
    <w:rsid w:val="008A2976"/>
    <w:rsid w:val="008A39E5"/>
    <w:rsid w:val="008A3C3F"/>
    <w:rsid w:val="008A3F0E"/>
    <w:rsid w:val="008A549C"/>
    <w:rsid w:val="008B0106"/>
    <w:rsid w:val="008B0F44"/>
    <w:rsid w:val="008B1A36"/>
    <w:rsid w:val="008B2791"/>
    <w:rsid w:val="008B455E"/>
    <w:rsid w:val="008B4D32"/>
    <w:rsid w:val="008B508A"/>
    <w:rsid w:val="008B533B"/>
    <w:rsid w:val="008B5B6C"/>
    <w:rsid w:val="008B5EB6"/>
    <w:rsid w:val="008B6B43"/>
    <w:rsid w:val="008B7C59"/>
    <w:rsid w:val="008B7DF0"/>
    <w:rsid w:val="008C1C6D"/>
    <w:rsid w:val="008C2BED"/>
    <w:rsid w:val="008C54F3"/>
    <w:rsid w:val="008C6A31"/>
    <w:rsid w:val="008D0E77"/>
    <w:rsid w:val="008D2301"/>
    <w:rsid w:val="008D3892"/>
    <w:rsid w:val="008D3DE8"/>
    <w:rsid w:val="008D469A"/>
    <w:rsid w:val="008D51F5"/>
    <w:rsid w:val="008D5A72"/>
    <w:rsid w:val="008D5E45"/>
    <w:rsid w:val="008D692C"/>
    <w:rsid w:val="008D6965"/>
    <w:rsid w:val="008D69BA"/>
    <w:rsid w:val="008D7211"/>
    <w:rsid w:val="008D79C1"/>
    <w:rsid w:val="008D7E3B"/>
    <w:rsid w:val="008E010E"/>
    <w:rsid w:val="008E17F3"/>
    <w:rsid w:val="008E19A8"/>
    <w:rsid w:val="008E1B6F"/>
    <w:rsid w:val="008E21DE"/>
    <w:rsid w:val="008E67BA"/>
    <w:rsid w:val="008E6CCF"/>
    <w:rsid w:val="008E7EE1"/>
    <w:rsid w:val="008F0AD7"/>
    <w:rsid w:val="008F30ED"/>
    <w:rsid w:val="008F3A66"/>
    <w:rsid w:val="008F44FA"/>
    <w:rsid w:val="008F50B0"/>
    <w:rsid w:val="008F6EC7"/>
    <w:rsid w:val="008F733F"/>
    <w:rsid w:val="008F75C0"/>
    <w:rsid w:val="00900946"/>
    <w:rsid w:val="0090099D"/>
    <w:rsid w:val="009014D3"/>
    <w:rsid w:val="00901C20"/>
    <w:rsid w:val="00904C76"/>
    <w:rsid w:val="00905807"/>
    <w:rsid w:val="00905CF5"/>
    <w:rsid w:val="00906205"/>
    <w:rsid w:val="00906289"/>
    <w:rsid w:val="009062E1"/>
    <w:rsid w:val="0091002A"/>
    <w:rsid w:val="00910775"/>
    <w:rsid w:val="00910A72"/>
    <w:rsid w:val="00910F74"/>
    <w:rsid w:val="009121E1"/>
    <w:rsid w:val="009124E1"/>
    <w:rsid w:val="00912C17"/>
    <w:rsid w:val="00913B9C"/>
    <w:rsid w:val="00913D21"/>
    <w:rsid w:val="00915110"/>
    <w:rsid w:val="0091526E"/>
    <w:rsid w:val="00915631"/>
    <w:rsid w:val="0091564B"/>
    <w:rsid w:val="0091574A"/>
    <w:rsid w:val="00915D48"/>
    <w:rsid w:val="00916939"/>
    <w:rsid w:val="00916B9B"/>
    <w:rsid w:val="00916FD3"/>
    <w:rsid w:val="009209F5"/>
    <w:rsid w:val="0092160F"/>
    <w:rsid w:val="009216D2"/>
    <w:rsid w:val="009231CE"/>
    <w:rsid w:val="00923C37"/>
    <w:rsid w:val="00925CBB"/>
    <w:rsid w:val="009272FC"/>
    <w:rsid w:val="009277A7"/>
    <w:rsid w:val="0093043D"/>
    <w:rsid w:val="009308AE"/>
    <w:rsid w:val="00930970"/>
    <w:rsid w:val="0093168B"/>
    <w:rsid w:val="009341C0"/>
    <w:rsid w:val="00934890"/>
    <w:rsid w:val="00934EC9"/>
    <w:rsid w:val="00936593"/>
    <w:rsid w:val="0093709C"/>
    <w:rsid w:val="009379BE"/>
    <w:rsid w:val="009424FD"/>
    <w:rsid w:val="0094260E"/>
    <w:rsid w:val="0094267D"/>
    <w:rsid w:val="009465EE"/>
    <w:rsid w:val="00946D70"/>
    <w:rsid w:val="00950865"/>
    <w:rsid w:val="00951340"/>
    <w:rsid w:val="0095305D"/>
    <w:rsid w:val="0095350C"/>
    <w:rsid w:val="00953D55"/>
    <w:rsid w:val="00954587"/>
    <w:rsid w:val="0095777A"/>
    <w:rsid w:val="009577CB"/>
    <w:rsid w:val="00962C78"/>
    <w:rsid w:val="00962E9C"/>
    <w:rsid w:val="009635DC"/>
    <w:rsid w:val="009645AF"/>
    <w:rsid w:val="00965409"/>
    <w:rsid w:val="009714AF"/>
    <w:rsid w:val="00971F07"/>
    <w:rsid w:val="009721E3"/>
    <w:rsid w:val="0097243A"/>
    <w:rsid w:val="009728B4"/>
    <w:rsid w:val="009735FE"/>
    <w:rsid w:val="00973B5B"/>
    <w:rsid w:val="00974F95"/>
    <w:rsid w:val="009759AF"/>
    <w:rsid w:val="0097652A"/>
    <w:rsid w:val="009777B0"/>
    <w:rsid w:val="009808A0"/>
    <w:rsid w:val="0098102B"/>
    <w:rsid w:val="009813AD"/>
    <w:rsid w:val="00982547"/>
    <w:rsid w:val="00982DB7"/>
    <w:rsid w:val="009846FD"/>
    <w:rsid w:val="009854DB"/>
    <w:rsid w:val="00987332"/>
    <w:rsid w:val="00987B5E"/>
    <w:rsid w:val="00987F81"/>
    <w:rsid w:val="009900D6"/>
    <w:rsid w:val="0099038A"/>
    <w:rsid w:val="00990B79"/>
    <w:rsid w:val="00993389"/>
    <w:rsid w:val="00993522"/>
    <w:rsid w:val="009942F7"/>
    <w:rsid w:val="0099488D"/>
    <w:rsid w:val="00994D96"/>
    <w:rsid w:val="009973CC"/>
    <w:rsid w:val="009977E3"/>
    <w:rsid w:val="00997AD2"/>
    <w:rsid w:val="009A1038"/>
    <w:rsid w:val="009A3FE3"/>
    <w:rsid w:val="009A5008"/>
    <w:rsid w:val="009A6174"/>
    <w:rsid w:val="009A62E0"/>
    <w:rsid w:val="009A7BD6"/>
    <w:rsid w:val="009A7FDD"/>
    <w:rsid w:val="009A7FDF"/>
    <w:rsid w:val="009B0E76"/>
    <w:rsid w:val="009B13FD"/>
    <w:rsid w:val="009B1710"/>
    <w:rsid w:val="009B25D5"/>
    <w:rsid w:val="009B3610"/>
    <w:rsid w:val="009B3645"/>
    <w:rsid w:val="009B55DD"/>
    <w:rsid w:val="009B6705"/>
    <w:rsid w:val="009C0F7B"/>
    <w:rsid w:val="009C2316"/>
    <w:rsid w:val="009C26FA"/>
    <w:rsid w:val="009C2BD7"/>
    <w:rsid w:val="009C30EB"/>
    <w:rsid w:val="009C3349"/>
    <w:rsid w:val="009C56ED"/>
    <w:rsid w:val="009C59D0"/>
    <w:rsid w:val="009C5AF3"/>
    <w:rsid w:val="009C6654"/>
    <w:rsid w:val="009C7721"/>
    <w:rsid w:val="009D1903"/>
    <w:rsid w:val="009D1FB5"/>
    <w:rsid w:val="009D4363"/>
    <w:rsid w:val="009D59A8"/>
    <w:rsid w:val="009D62DE"/>
    <w:rsid w:val="009D64E2"/>
    <w:rsid w:val="009D7741"/>
    <w:rsid w:val="009D7CAF"/>
    <w:rsid w:val="009E04F1"/>
    <w:rsid w:val="009E2883"/>
    <w:rsid w:val="009E3FF4"/>
    <w:rsid w:val="009E415B"/>
    <w:rsid w:val="009E44EE"/>
    <w:rsid w:val="009E4705"/>
    <w:rsid w:val="009E4F5E"/>
    <w:rsid w:val="009E507C"/>
    <w:rsid w:val="009E5B0B"/>
    <w:rsid w:val="009E5E1A"/>
    <w:rsid w:val="009F0416"/>
    <w:rsid w:val="009F0771"/>
    <w:rsid w:val="009F1164"/>
    <w:rsid w:val="009F12E8"/>
    <w:rsid w:val="009F1CB8"/>
    <w:rsid w:val="009F1E9B"/>
    <w:rsid w:val="009F2938"/>
    <w:rsid w:val="009F4464"/>
    <w:rsid w:val="009F4F4E"/>
    <w:rsid w:val="009F4FEF"/>
    <w:rsid w:val="009F5E94"/>
    <w:rsid w:val="009F6902"/>
    <w:rsid w:val="00A03172"/>
    <w:rsid w:val="00A034B9"/>
    <w:rsid w:val="00A036AE"/>
    <w:rsid w:val="00A05B62"/>
    <w:rsid w:val="00A06300"/>
    <w:rsid w:val="00A06AA0"/>
    <w:rsid w:val="00A06B04"/>
    <w:rsid w:val="00A07ACF"/>
    <w:rsid w:val="00A1132D"/>
    <w:rsid w:val="00A1187E"/>
    <w:rsid w:val="00A12671"/>
    <w:rsid w:val="00A13A66"/>
    <w:rsid w:val="00A152A1"/>
    <w:rsid w:val="00A15543"/>
    <w:rsid w:val="00A15C40"/>
    <w:rsid w:val="00A171FC"/>
    <w:rsid w:val="00A17553"/>
    <w:rsid w:val="00A17D10"/>
    <w:rsid w:val="00A17EBE"/>
    <w:rsid w:val="00A21914"/>
    <w:rsid w:val="00A223DD"/>
    <w:rsid w:val="00A22696"/>
    <w:rsid w:val="00A22C3D"/>
    <w:rsid w:val="00A27EE1"/>
    <w:rsid w:val="00A30A3B"/>
    <w:rsid w:val="00A30E23"/>
    <w:rsid w:val="00A350EC"/>
    <w:rsid w:val="00A35A90"/>
    <w:rsid w:val="00A35B77"/>
    <w:rsid w:val="00A36C9E"/>
    <w:rsid w:val="00A377E1"/>
    <w:rsid w:val="00A3784A"/>
    <w:rsid w:val="00A40C97"/>
    <w:rsid w:val="00A4163A"/>
    <w:rsid w:val="00A41C6B"/>
    <w:rsid w:val="00A4296C"/>
    <w:rsid w:val="00A45960"/>
    <w:rsid w:val="00A46AB1"/>
    <w:rsid w:val="00A47686"/>
    <w:rsid w:val="00A47C97"/>
    <w:rsid w:val="00A50289"/>
    <w:rsid w:val="00A51D4A"/>
    <w:rsid w:val="00A51E73"/>
    <w:rsid w:val="00A535CA"/>
    <w:rsid w:val="00A546AE"/>
    <w:rsid w:val="00A567A8"/>
    <w:rsid w:val="00A57118"/>
    <w:rsid w:val="00A60592"/>
    <w:rsid w:val="00A615BE"/>
    <w:rsid w:val="00A62401"/>
    <w:rsid w:val="00A62C10"/>
    <w:rsid w:val="00A63144"/>
    <w:rsid w:val="00A70F61"/>
    <w:rsid w:val="00A7259D"/>
    <w:rsid w:val="00A7314C"/>
    <w:rsid w:val="00A737CF"/>
    <w:rsid w:val="00A742B6"/>
    <w:rsid w:val="00A74C97"/>
    <w:rsid w:val="00A75165"/>
    <w:rsid w:val="00A76AE6"/>
    <w:rsid w:val="00A77654"/>
    <w:rsid w:val="00A808BE"/>
    <w:rsid w:val="00A80C85"/>
    <w:rsid w:val="00A82479"/>
    <w:rsid w:val="00A82537"/>
    <w:rsid w:val="00A83655"/>
    <w:rsid w:val="00A84296"/>
    <w:rsid w:val="00A84C62"/>
    <w:rsid w:val="00A8735B"/>
    <w:rsid w:val="00A937C8"/>
    <w:rsid w:val="00A9410E"/>
    <w:rsid w:val="00A94FE2"/>
    <w:rsid w:val="00A95AD2"/>
    <w:rsid w:val="00A97478"/>
    <w:rsid w:val="00A974C8"/>
    <w:rsid w:val="00A974FA"/>
    <w:rsid w:val="00A9766D"/>
    <w:rsid w:val="00A977FF"/>
    <w:rsid w:val="00A97FDB"/>
    <w:rsid w:val="00AA0A66"/>
    <w:rsid w:val="00AA11CA"/>
    <w:rsid w:val="00AA312D"/>
    <w:rsid w:val="00AA34F4"/>
    <w:rsid w:val="00AA46B1"/>
    <w:rsid w:val="00AA5631"/>
    <w:rsid w:val="00AA5823"/>
    <w:rsid w:val="00AA5C55"/>
    <w:rsid w:val="00AA624F"/>
    <w:rsid w:val="00AB0DBA"/>
    <w:rsid w:val="00AB22FD"/>
    <w:rsid w:val="00AB459F"/>
    <w:rsid w:val="00AB4757"/>
    <w:rsid w:val="00AB475C"/>
    <w:rsid w:val="00AB4FFC"/>
    <w:rsid w:val="00AB6598"/>
    <w:rsid w:val="00AB6F6D"/>
    <w:rsid w:val="00AB75D2"/>
    <w:rsid w:val="00AB77EB"/>
    <w:rsid w:val="00AC0EFB"/>
    <w:rsid w:val="00AC13AF"/>
    <w:rsid w:val="00AC23A1"/>
    <w:rsid w:val="00AC3000"/>
    <w:rsid w:val="00AC352A"/>
    <w:rsid w:val="00AC43CA"/>
    <w:rsid w:val="00AC47D2"/>
    <w:rsid w:val="00AC4EB4"/>
    <w:rsid w:val="00AC5AB6"/>
    <w:rsid w:val="00AC6BCB"/>
    <w:rsid w:val="00AC7E67"/>
    <w:rsid w:val="00AD0FCA"/>
    <w:rsid w:val="00AD6AFF"/>
    <w:rsid w:val="00AD702D"/>
    <w:rsid w:val="00AD7E6B"/>
    <w:rsid w:val="00AE01BA"/>
    <w:rsid w:val="00AE0B03"/>
    <w:rsid w:val="00AE0C9F"/>
    <w:rsid w:val="00AE20B9"/>
    <w:rsid w:val="00AE3C1D"/>
    <w:rsid w:val="00AE49F0"/>
    <w:rsid w:val="00AE4EFB"/>
    <w:rsid w:val="00AE5917"/>
    <w:rsid w:val="00AE60EC"/>
    <w:rsid w:val="00AE7AD0"/>
    <w:rsid w:val="00AF16B3"/>
    <w:rsid w:val="00AF17F8"/>
    <w:rsid w:val="00AF1F3B"/>
    <w:rsid w:val="00AF287D"/>
    <w:rsid w:val="00AF2A56"/>
    <w:rsid w:val="00AF48F1"/>
    <w:rsid w:val="00AF676C"/>
    <w:rsid w:val="00AF6D10"/>
    <w:rsid w:val="00AF74A0"/>
    <w:rsid w:val="00AF7A36"/>
    <w:rsid w:val="00B00D4A"/>
    <w:rsid w:val="00B01776"/>
    <w:rsid w:val="00B0238D"/>
    <w:rsid w:val="00B024D2"/>
    <w:rsid w:val="00B02E81"/>
    <w:rsid w:val="00B03826"/>
    <w:rsid w:val="00B04BE9"/>
    <w:rsid w:val="00B05F50"/>
    <w:rsid w:val="00B06B8A"/>
    <w:rsid w:val="00B079E3"/>
    <w:rsid w:val="00B07C44"/>
    <w:rsid w:val="00B11C4B"/>
    <w:rsid w:val="00B12234"/>
    <w:rsid w:val="00B13271"/>
    <w:rsid w:val="00B139C3"/>
    <w:rsid w:val="00B14DD8"/>
    <w:rsid w:val="00B167BB"/>
    <w:rsid w:val="00B16FDC"/>
    <w:rsid w:val="00B20626"/>
    <w:rsid w:val="00B2074C"/>
    <w:rsid w:val="00B20C15"/>
    <w:rsid w:val="00B21CFC"/>
    <w:rsid w:val="00B221FA"/>
    <w:rsid w:val="00B224CD"/>
    <w:rsid w:val="00B2277D"/>
    <w:rsid w:val="00B23838"/>
    <w:rsid w:val="00B2422A"/>
    <w:rsid w:val="00B26620"/>
    <w:rsid w:val="00B26A95"/>
    <w:rsid w:val="00B26FFD"/>
    <w:rsid w:val="00B275A4"/>
    <w:rsid w:val="00B30136"/>
    <w:rsid w:val="00B3055A"/>
    <w:rsid w:val="00B3318E"/>
    <w:rsid w:val="00B334E9"/>
    <w:rsid w:val="00B360C1"/>
    <w:rsid w:val="00B36E14"/>
    <w:rsid w:val="00B375C0"/>
    <w:rsid w:val="00B37D4D"/>
    <w:rsid w:val="00B410C9"/>
    <w:rsid w:val="00B421D2"/>
    <w:rsid w:val="00B422B8"/>
    <w:rsid w:val="00B44188"/>
    <w:rsid w:val="00B44B65"/>
    <w:rsid w:val="00B44E6F"/>
    <w:rsid w:val="00B452CF"/>
    <w:rsid w:val="00B45F23"/>
    <w:rsid w:val="00B46734"/>
    <w:rsid w:val="00B46B0A"/>
    <w:rsid w:val="00B50F29"/>
    <w:rsid w:val="00B5142C"/>
    <w:rsid w:val="00B517AB"/>
    <w:rsid w:val="00B523D7"/>
    <w:rsid w:val="00B52618"/>
    <w:rsid w:val="00B53CD0"/>
    <w:rsid w:val="00B543BE"/>
    <w:rsid w:val="00B549B4"/>
    <w:rsid w:val="00B54CBB"/>
    <w:rsid w:val="00B56EFC"/>
    <w:rsid w:val="00B56FA4"/>
    <w:rsid w:val="00B60372"/>
    <w:rsid w:val="00B60B98"/>
    <w:rsid w:val="00B60C29"/>
    <w:rsid w:val="00B62272"/>
    <w:rsid w:val="00B647B6"/>
    <w:rsid w:val="00B6490A"/>
    <w:rsid w:val="00B650A3"/>
    <w:rsid w:val="00B67001"/>
    <w:rsid w:val="00B70948"/>
    <w:rsid w:val="00B71AB9"/>
    <w:rsid w:val="00B71B7F"/>
    <w:rsid w:val="00B735E6"/>
    <w:rsid w:val="00B758FD"/>
    <w:rsid w:val="00B7625B"/>
    <w:rsid w:val="00B76D01"/>
    <w:rsid w:val="00B776E9"/>
    <w:rsid w:val="00B77773"/>
    <w:rsid w:val="00B8010B"/>
    <w:rsid w:val="00B81EA1"/>
    <w:rsid w:val="00B83AC3"/>
    <w:rsid w:val="00B842A6"/>
    <w:rsid w:val="00B85381"/>
    <w:rsid w:val="00B854D4"/>
    <w:rsid w:val="00B866FC"/>
    <w:rsid w:val="00B87102"/>
    <w:rsid w:val="00B87697"/>
    <w:rsid w:val="00B9419C"/>
    <w:rsid w:val="00B94BA1"/>
    <w:rsid w:val="00B95EBE"/>
    <w:rsid w:val="00B9612B"/>
    <w:rsid w:val="00B96806"/>
    <w:rsid w:val="00B96B10"/>
    <w:rsid w:val="00B9761E"/>
    <w:rsid w:val="00B97679"/>
    <w:rsid w:val="00BA0B11"/>
    <w:rsid w:val="00BA0DB9"/>
    <w:rsid w:val="00BA1FA2"/>
    <w:rsid w:val="00BA4074"/>
    <w:rsid w:val="00BA4DB4"/>
    <w:rsid w:val="00BA4F94"/>
    <w:rsid w:val="00BA6765"/>
    <w:rsid w:val="00BA72A0"/>
    <w:rsid w:val="00BA74D4"/>
    <w:rsid w:val="00BA7F98"/>
    <w:rsid w:val="00BB0B93"/>
    <w:rsid w:val="00BB139B"/>
    <w:rsid w:val="00BB1401"/>
    <w:rsid w:val="00BB1707"/>
    <w:rsid w:val="00BB4279"/>
    <w:rsid w:val="00BB4A15"/>
    <w:rsid w:val="00BB4F16"/>
    <w:rsid w:val="00BB4F71"/>
    <w:rsid w:val="00BB77C5"/>
    <w:rsid w:val="00BB7FB1"/>
    <w:rsid w:val="00BC0229"/>
    <w:rsid w:val="00BC1D46"/>
    <w:rsid w:val="00BC2642"/>
    <w:rsid w:val="00BC27C8"/>
    <w:rsid w:val="00BC3E01"/>
    <w:rsid w:val="00BC445F"/>
    <w:rsid w:val="00BC45B0"/>
    <w:rsid w:val="00BC4DD9"/>
    <w:rsid w:val="00BC52D3"/>
    <w:rsid w:val="00BC533C"/>
    <w:rsid w:val="00BC5920"/>
    <w:rsid w:val="00BC7516"/>
    <w:rsid w:val="00BC76DE"/>
    <w:rsid w:val="00BD05BD"/>
    <w:rsid w:val="00BD1E11"/>
    <w:rsid w:val="00BD20CC"/>
    <w:rsid w:val="00BD249C"/>
    <w:rsid w:val="00BD4DB6"/>
    <w:rsid w:val="00BD4FE0"/>
    <w:rsid w:val="00BD5098"/>
    <w:rsid w:val="00BD5433"/>
    <w:rsid w:val="00BD6BAF"/>
    <w:rsid w:val="00BD6E12"/>
    <w:rsid w:val="00BE218E"/>
    <w:rsid w:val="00BE2FD4"/>
    <w:rsid w:val="00BE2FF5"/>
    <w:rsid w:val="00BE3257"/>
    <w:rsid w:val="00BE6479"/>
    <w:rsid w:val="00BE6B2F"/>
    <w:rsid w:val="00BE6D95"/>
    <w:rsid w:val="00BE6F96"/>
    <w:rsid w:val="00BE736E"/>
    <w:rsid w:val="00BE7A65"/>
    <w:rsid w:val="00BF06A4"/>
    <w:rsid w:val="00BF0866"/>
    <w:rsid w:val="00BF0B78"/>
    <w:rsid w:val="00BF1086"/>
    <w:rsid w:val="00BF3053"/>
    <w:rsid w:val="00BF368A"/>
    <w:rsid w:val="00BF38EA"/>
    <w:rsid w:val="00BF3955"/>
    <w:rsid w:val="00C01181"/>
    <w:rsid w:val="00C033A2"/>
    <w:rsid w:val="00C03F8C"/>
    <w:rsid w:val="00C04DED"/>
    <w:rsid w:val="00C051D6"/>
    <w:rsid w:val="00C06E02"/>
    <w:rsid w:val="00C07E47"/>
    <w:rsid w:val="00C1076A"/>
    <w:rsid w:val="00C10B8D"/>
    <w:rsid w:val="00C11237"/>
    <w:rsid w:val="00C11975"/>
    <w:rsid w:val="00C12549"/>
    <w:rsid w:val="00C12702"/>
    <w:rsid w:val="00C12D24"/>
    <w:rsid w:val="00C12E01"/>
    <w:rsid w:val="00C145EF"/>
    <w:rsid w:val="00C21072"/>
    <w:rsid w:val="00C226F3"/>
    <w:rsid w:val="00C23748"/>
    <w:rsid w:val="00C23D44"/>
    <w:rsid w:val="00C24FF7"/>
    <w:rsid w:val="00C251DE"/>
    <w:rsid w:val="00C25A19"/>
    <w:rsid w:val="00C26EBD"/>
    <w:rsid w:val="00C26F80"/>
    <w:rsid w:val="00C320BD"/>
    <w:rsid w:val="00C3231B"/>
    <w:rsid w:val="00C33EE3"/>
    <w:rsid w:val="00C34386"/>
    <w:rsid w:val="00C3499E"/>
    <w:rsid w:val="00C35ACF"/>
    <w:rsid w:val="00C370C9"/>
    <w:rsid w:val="00C37537"/>
    <w:rsid w:val="00C378B6"/>
    <w:rsid w:val="00C400F1"/>
    <w:rsid w:val="00C40D06"/>
    <w:rsid w:val="00C4149C"/>
    <w:rsid w:val="00C43238"/>
    <w:rsid w:val="00C43947"/>
    <w:rsid w:val="00C43AF6"/>
    <w:rsid w:val="00C43C4B"/>
    <w:rsid w:val="00C444CA"/>
    <w:rsid w:val="00C50C5E"/>
    <w:rsid w:val="00C52D33"/>
    <w:rsid w:val="00C535F0"/>
    <w:rsid w:val="00C5388D"/>
    <w:rsid w:val="00C54ABE"/>
    <w:rsid w:val="00C55A6C"/>
    <w:rsid w:val="00C57BFE"/>
    <w:rsid w:val="00C616C9"/>
    <w:rsid w:val="00C61734"/>
    <w:rsid w:val="00C61840"/>
    <w:rsid w:val="00C62988"/>
    <w:rsid w:val="00C6381D"/>
    <w:rsid w:val="00C63C64"/>
    <w:rsid w:val="00C63DC3"/>
    <w:rsid w:val="00C66044"/>
    <w:rsid w:val="00C660C9"/>
    <w:rsid w:val="00C678E4"/>
    <w:rsid w:val="00C67F82"/>
    <w:rsid w:val="00C71956"/>
    <w:rsid w:val="00C7339B"/>
    <w:rsid w:val="00C7378C"/>
    <w:rsid w:val="00C755FC"/>
    <w:rsid w:val="00C770FF"/>
    <w:rsid w:val="00C77C6D"/>
    <w:rsid w:val="00C80CCA"/>
    <w:rsid w:val="00C812AF"/>
    <w:rsid w:val="00C814AA"/>
    <w:rsid w:val="00C814B5"/>
    <w:rsid w:val="00C8182C"/>
    <w:rsid w:val="00C8292D"/>
    <w:rsid w:val="00C83560"/>
    <w:rsid w:val="00C83F77"/>
    <w:rsid w:val="00C86786"/>
    <w:rsid w:val="00C868AD"/>
    <w:rsid w:val="00C8742F"/>
    <w:rsid w:val="00C900EC"/>
    <w:rsid w:val="00C90231"/>
    <w:rsid w:val="00C9169D"/>
    <w:rsid w:val="00C93CE1"/>
    <w:rsid w:val="00C958A1"/>
    <w:rsid w:val="00C95F1D"/>
    <w:rsid w:val="00C96D6D"/>
    <w:rsid w:val="00CA12CC"/>
    <w:rsid w:val="00CA143D"/>
    <w:rsid w:val="00CA252A"/>
    <w:rsid w:val="00CA3F65"/>
    <w:rsid w:val="00CA459C"/>
    <w:rsid w:val="00CA4658"/>
    <w:rsid w:val="00CA5650"/>
    <w:rsid w:val="00CA58D5"/>
    <w:rsid w:val="00CA67C6"/>
    <w:rsid w:val="00CA7C1B"/>
    <w:rsid w:val="00CB2AE7"/>
    <w:rsid w:val="00CB2FD1"/>
    <w:rsid w:val="00CB5ECD"/>
    <w:rsid w:val="00CB6148"/>
    <w:rsid w:val="00CB7505"/>
    <w:rsid w:val="00CC03A6"/>
    <w:rsid w:val="00CC0C77"/>
    <w:rsid w:val="00CC2273"/>
    <w:rsid w:val="00CC2FC4"/>
    <w:rsid w:val="00CC36EE"/>
    <w:rsid w:val="00CC5915"/>
    <w:rsid w:val="00CC6A7D"/>
    <w:rsid w:val="00CC75EE"/>
    <w:rsid w:val="00CD13A7"/>
    <w:rsid w:val="00CD1763"/>
    <w:rsid w:val="00CD3855"/>
    <w:rsid w:val="00CD59D9"/>
    <w:rsid w:val="00CD6167"/>
    <w:rsid w:val="00CD6476"/>
    <w:rsid w:val="00CD6680"/>
    <w:rsid w:val="00CD717E"/>
    <w:rsid w:val="00CE01E2"/>
    <w:rsid w:val="00CE368C"/>
    <w:rsid w:val="00CE3D04"/>
    <w:rsid w:val="00CE6DB9"/>
    <w:rsid w:val="00CE7DD5"/>
    <w:rsid w:val="00CF06B8"/>
    <w:rsid w:val="00CF1368"/>
    <w:rsid w:val="00CF15F3"/>
    <w:rsid w:val="00CF1656"/>
    <w:rsid w:val="00CF24E0"/>
    <w:rsid w:val="00CF3647"/>
    <w:rsid w:val="00CF4284"/>
    <w:rsid w:val="00CF4B4F"/>
    <w:rsid w:val="00CF6DCF"/>
    <w:rsid w:val="00D01236"/>
    <w:rsid w:val="00D0209B"/>
    <w:rsid w:val="00D02155"/>
    <w:rsid w:val="00D0221B"/>
    <w:rsid w:val="00D02396"/>
    <w:rsid w:val="00D026AC"/>
    <w:rsid w:val="00D02C0D"/>
    <w:rsid w:val="00D03CA5"/>
    <w:rsid w:val="00D050D6"/>
    <w:rsid w:val="00D1059D"/>
    <w:rsid w:val="00D10888"/>
    <w:rsid w:val="00D118CE"/>
    <w:rsid w:val="00D11DB2"/>
    <w:rsid w:val="00D12E03"/>
    <w:rsid w:val="00D13067"/>
    <w:rsid w:val="00D157D9"/>
    <w:rsid w:val="00D17B24"/>
    <w:rsid w:val="00D20123"/>
    <w:rsid w:val="00D210A6"/>
    <w:rsid w:val="00D25139"/>
    <w:rsid w:val="00D251A6"/>
    <w:rsid w:val="00D2668A"/>
    <w:rsid w:val="00D2673C"/>
    <w:rsid w:val="00D279C8"/>
    <w:rsid w:val="00D27D4E"/>
    <w:rsid w:val="00D30CF7"/>
    <w:rsid w:val="00D31946"/>
    <w:rsid w:val="00D31C06"/>
    <w:rsid w:val="00D34426"/>
    <w:rsid w:val="00D346E8"/>
    <w:rsid w:val="00D34BD7"/>
    <w:rsid w:val="00D352FC"/>
    <w:rsid w:val="00D36838"/>
    <w:rsid w:val="00D37EA1"/>
    <w:rsid w:val="00D40DC1"/>
    <w:rsid w:val="00D42AFF"/>
    <w:rsid w:val="00D42E1C"/>
    <w:rsid w:val="00D43377"/>
    <w:rsid w:val="00D4383C"/>
    <w:rsid w:val="00D46040"/>
    <w:rsid w:val="00D4629A"/>
    <w:rsid w:val="00D4708E"/>
    <w:rsid w:val="00D47FDD"/>
    <w:rsid w:val="00D50BCE"/>
    <w:rsid w:val="00D52F21"/>
    <w:rsid w:val="00D534B8"/>
    <w:rsid w:val="00D53E80"/>
    <w:rsid w:val="00D54C16"/>
    <w:rsid w:val="00D554C3"/>
    <w:rsid w:val="00D5556C"/>
    <w:rsid w:val="00D55BD2"/>
    <w:rsid w:val="00D56A7B"/>
    <w:rsid w:val="00D5796E"/>
    <w:rsid w:val="00D57C2A"/>
    <w:rsid w:val="00D6079E"/>
    <w:rsid w:val="00D607EF"/>
    <w:rsid w:val="00D61C9A"/>
    <w:rsid w:val="00D62FB5"/>
    <w:rsid w:val="00D64B89"/>
    <w:rsid w:val="00D64DBF"/>
    <w:rsid w:val="00D66E56"/>
    <w:rsid w:val="00D7041F"/>
    <w:rsid w:val="00D70813"/>
    <w:rsid w:val="00D71640"/>
    <w:rsid w:val="00D7166B"/>
    <w:rsid w:val="00D72A94"/>
    <w:rsid w:val="00D735DF"/>
    <w:rsid w:val="00D73FB2"/>
    <w:rsid w:val="00D74560"/>
    <w:rsid w:val="00D75CA6"/>
    <w:rsid w:val="00D7635D"/>
    <w:rsid w:val="00D76EE0"/>
    <w:rsid w:val="00D76FF4"/>
    <w:rsid w:val="00D81187"/>
    <w:rsid w:val="00D81BB7"/>
    <w:rsid w:val="00D81D16"/>
    <w:rsid w:val="00D820A9"/>
    <w:rsid w:val="00D8250E"/>
    <w:rsid w:val="00D8523A"/>
    <w:rsid w:val="00D86AAB"/>
    <w:rsid w:val="00D86CFD"/>
    <w:rsid w:val="00D87C55"/>
    <w:rsid w:val="00D918B3"/>
    <w:rsid w:val="00D91D16"/>
    <w:rsid w:val="00D9454F"/>
    <w:rsid w:val="00DA028B"/>
    <w:rsid w:val="00DA132B"/>
    <w:rsid w:val="00DA3313"/>
    <w:rsid w:val="00DA3EE2"/>
    <w:rsid w:val="00DA615F"/>
    <w:rsid w:val="00DA7BC0"/>
    <w:rsid w:val="00DB1CC3"/>
    <w:rsid w:val="00DB2F33"/>
    <w:rsid w:val="00DB42E4"/>
    <w:rsid w:val="00DB6F0E"/>
    <w:rsid w:val="00DB7542"/>
    <w:rsid w:val="00DB7D97"/>
    <w:rsid w:val="00DC0667"/>
    <w:rsid w:val="00DC0E49"/>
    <w:rsid w:val="00DC0EB0"/>
    <w:rsid w:val="00DC17B0"/>
    <w:rsid w:val="00DC29D7"/>
    <w:rsid w:val="00DC31DC"/>
    <w:rsid w:val="00DC32DE"/>
    <w:rsid w:val="00DC330E"/>
    <w:rsid w:val="00DC58BA"/>
    <w:rsid w:val="00DC594D"/>
    <w:rsid w:val="00DC5CE3"/>
    <w:rsid w:val="00DC5D90"/>
    <w:rsid w:val="00DD5548"/>
    <w:rsid w:val="00DD7106"/>
    <w:rsid w:val="00DE07BC"/>
    <w:rsid w:val="00DE46D2"/>
    <w:rsid w:val="00DE4FE8"/>
    <w:rsid w:val="00DE557A"/>
    <w:rsid w:val="00DE7CC9"/>
    <w:rsid w:val="00DF07D1"/>
    <w:rsid w:val="00DF09C1"/>
    <w:rsid w:val="00DF15D3"/>
    <w:rsid w:val="00DF3588"/>
    <w:rsid w:val="00DF384E"/>
    <w:rsid w:val="00DF3D9A"/>
    <w:rsid w:val="00DF44F6"/>
    <w:rsid w:val="00DF48AF"/>
    <w:rsid w:val="00DF49E2"/>
    <w:rsid w:val="00DF5298"/>
    <w:rsid w:val="00DF6995"/>
    <w:rsid w:val="00DF709C"/>
    <w:rsid w:val="00DF76AF"/>
    <w:rsid w:val="00DF79D4"/>
    <w:rsid w:val="00E001DC"/>
    <w:rsid w:val="00E01582"/>
    <w:rsid w:val="00E02510"/>
    <w:rsid w:val="00E033E0"/>
    <w:rsid w:val="00E037F5"/>
    <w:rsid w:val="00E07B71"/>
    <w:rsid w:val="00E07D07"/>
    <w:rsid w:val="00E11C1C"/>
    <w:rsid w:val="00E1224D"/>
    <w:rsid w:val="00E12B4F"/>
    <w:rsid w:val="00E13870"/>
    <w:rsid w:val="00E13A39"/>
    <w:rsid w:val="00E14127"/>
    <w:rsid w:val="00E1740B"/>
    <w:rsid w:val="00E17B0D"/>
    <w:rsid w:val="00E2053B"/>
    <w:rsid w:val="00E24A47"/>
    <w:rsid w:val="00E25B36"/>
    <w:rsid w:val="00E267EC"/>
    <w:rsid w:val="00E30D5B"/>
    <w:rsid w:val="00E315A0"/>
    <w:rsid w:val="00E31E74"/>
    <w:rsid w:val="00E3243F"/>
    <w:rsid w:val="00E32542"/>
    <w:rsid w:val="00E331B9"/>
    <w:rsid w:val="00E33509"/>
    <w:rsid w:val="00E354AE"/>
    <w:rsid w:val="00E358FC"/>
    <w:rsid w:val="00E35F4B"/>
    <w:rsid w:val="00E3648B"/>
    <w:rsid w:val="00E40408"/>
    <w:rsid w:val="00E407F1"/>
    <w:rsid w:val="00E40D7B"/>
    <w:rsid w:val="00E41323"/>
    <w:rsid w:val="00E413E0"/>
    <w:rsid w:val="00E4179C"/>
    <w:rsid w:val="00E430F5"/>
    <w:rsid w:val="00E435C2"/>
    <w:rsid w:val="00E44AAD"/>
    <w:rsid w:val="00E45B98"/>
    <w:rsid w:val="00E471DB"/>
    <w:rsid w:val="00E50D7E"/>
    <w:rsid w:val="00E50FAA"/>
    <w:rsid w:val="00E52D03"/>
    <w:rsid w:val="00E53023"/>
    <w:rsid w:val="00E53256"/>
    <w:rsid w:val="00E5394A"/>
    <w:rsid w:val="00E53F40"/>
    <w:rsid w:val="00E563FC"/>
    <w:rsid w:val="00E5660E"/>
    <w:rsid w:val="00E56E95"/>
    <w:rsid w:val="00E57189"/>
    <w:rsid w:val="00E60FAC"/>
    <w:rsid w:val="00E63DA6"/>
    <w:rsid w:val="00E65076"/>
    <w:rsid w:val="00E660AE"/>
    <w:rsid w:val="00E66244"/>
    <w:rsid w:val="00E67A18"/>
    <w:rsid w:val="00E67E07"/>
    <w:rsid w:val="00E70CAC"/>
    <w:rsid w:val="00E70F91"/>
    <w:rsid w:val="00E74139"/>
    <w:rsid w:val="00E7525D"/>
    <w:rsid w:val="00E75AEF"/>
    <w:rsid w:val="00E76B06"/>
    <w:rsid w:val="00E80FD7"/>
    <w:rsid w:val="00E81F7B"/>
    <w:rsid w:val="00E82041"/>
    <w:rsid w:val="00E84FE8"/>
    <w:rsid w:val="00E8719A"/>
    <w:rsid w:val="00E87596"/>
    <w:rsid w:val="00E908A3"/>
    <w:rsid w:val="00E90B97"/>
    <w:rsid w:val="00E90D09"/>
    <w:rsid w:val="00E90F17"/>
    <w:rsid w:val="00E90F76"/>
    <w:rsid w:val="00E91C52"/>
    <w:rsid w:val="00E92B25"/>
    <w:rsid w:val="00E92D2A"/>
    <w:rsid w:val="00E93A80"/>
    <w:rsid w:val="00E955E8"/>
    <w:rsid w:val="00E96662"/>
    <w:rsid w:val="00E97B26"/>
    <w:rsid w:val="00EA070A"/>
    <w:rsid w:val="00EA19D3"/>
    <w:rsid w:val="00EA2F25"/>
    <w:rsid w:val="00EA2FA7"/>
    <w:rsid w:val="00EA4216"/>
    <w:rsid w:val="00EA48BE"/>
    <w:rsid w:val="00EA61D5"/>
    <w:rsid w:val="00EA6565"/>
    <w:rsid w:val="00EA6740"/>
    <w:rsid w:val="00EA67A9"/>
    <w:rsid w:val="00EA6CD6"/>
    <w:rsid w:val="00EA6E8A"/>
    <w:rsid w:val="00EB09CB"/>
    <w:rsid w:val="00EB09DD"/>
    <w:rsid w:val="00EB29FC"/>
    <w:rsid w:val="00EB3075"/>
    <w:rsid w:val="00EB38A1"/>
    <w:rsid w:val="00EB394E"/>
    <w:rsid w:val="00EB3F06"/>
    <w:rsid w:val="00EB4CA2"/>
    <w:rsid w:val="00EB5CA6"/>
    <w:rsid w:val="00EB5D54"/>
    <w:rsid w:val="00EB6052"/>
    <w:rsid w:val="00EB67D4"/>
    <w:rsid w:val="00EB77FA"/>
    <w:rsid w:val="00EC00BE"/>
    <w:rsid w:val="00EC03F2"/>
    <w:rsid w:val="00EC1742"/>
    <w:rsid w:val="00EC1D8F"/>
    <w:rsid w:val="00EC3D7E"/>
    <w:rsid w:val="00EC50B0"/>
    <w:rsid w:val="00EC544B"/>
    <w:rsid w:val="00EC564C"/>
    <w:rsid w:val="00EC6D48"/>
    <w:rsid w:val="00EC76E6"/>
    <w:rsid w:val="00EC7EFF"/>
    <w:rsid w:val="00ED001A"/>
    <w:rsid w:val="00ED05FE"/>
    <w:rsid w:val="00ED1729"/>
    <w:rsid w:val="00ED176A"/>
    <w:rsid w:val="00ED2103"/>
    <w:rsid w:val="00ED34BF"/>
    <w:rsid w:val="00ED4381"/>
    <w:rsid w:val="00ED486B"/>
    <w:rsid w:val="00ED4B44"/>
    <w:rsid w:val="00ED7ABA"/>
    <w:rsid w:val="00ED7FE0"/>
    <w:rsid w:val="00EE03AD"/>
    <w:rsid w:val="00EE0750"/>
    <w:rsid w:val="00EE2799"/>
    <w:rsid w:val="00EE2831"/>
    <w:rsid w:val="00EE46ED"/>
    <w:rsid w:val="00EE57C9"/>
    <w:rsid w:val="00EE610A"/>
    <w:rsid w:val="00EE6A03"/>
    <w:rsid w:val="00EF155E"/>
    <w:rsid w:val="00EF4717"/>
    <w:rsid w:val="00EF4F20"/>
    <w:rsid w:val="00EF5AF8"/>
    <w:rsid w:val="00EF7A24"/>
    <w:rsid w:val="00F007A0"/>
    <w:rsid w:val="00F0259E"/>
    <w:rsid w:val="00F037B3"/>
    <w:rsid w:val="00F063F0"/>
    <w:rsid w:val="00F0681B"/>
    <w:rsid w:val="00F06B95"/>
    <w:rsid w:val="00F106F4"/>
    <w:rsid w:val="00F109F9"/>
    <w:rsid w:val="00F10DFC"/>
    <w:rsid w:val="00F1171A"/>
    <w:rsid w:val="00F11D4C"/>
    <w:rsid w:val="00F12589"/>
    <w:rsid w:val="00F1289A"/>
    <w:rsid w:val="00F14CF8"/>
    <w:rsid w:val="00F164C2"/>
    <w:rsid w:val="00F1667B"/>
    <w:rsid w:val="00F16839"/>
    <w:rsid w:val="00F16DDE"/>
    <w:rsid w:val="00F17098"/>
    <w:rsid w:val="00F17BFA"/>
    <w:rsid w:val="00F2130E"/>
    <w:rsid w:val="00F2186B"/>
    <w:rsid w:val="00F23871"/>
    <w:rsid w:val="00F251A3"/>
    <w:rsid w:val="00F25BB6"/>
    <w:rsid w:val="00F25CD6"/>
    <w:rsid w:val="00F260B0"/>
    <w:rsid w:val="00F26D22"/>
    <w:rsid w:val="00F26F0A"/>
    <w:rsid w:val="00F27248"/>
    <w:rsid w:val="00F30455"/>
    <w:rsid w:val="00F331AE"/>
    <w:rsid w:val="00F3499C"/>
    <w:rsid w:val="00F37A73"/>
    <w:rsid w:val="00F4119C"/>
    <w:rsid w:val="00F43671"/>
    <w:rsid w:val="00F439D9"/>
    <w:rsid w:val="00F448B5"/>
    <w:rsid w:val="00F45812"/>
    <w:rsid w:val="00F45ED4"/>
    <w:rsid w:val="00F479ED"/>
    <w:rsid w:val="00F47F3C"/>
    <w:rsid w:val="00F51090"/>
    <w:rsid w:val="00F54165"/>
    <w:rsid w:val="00F54501"/>
    <w:rsid w:val="00F54B0D"/>
    <w:rsid w:val="00F56C06"/>
    <w:rsid w:val="00F60282"/>
    <w:rsid w:val="00F62B99"/>
    <w:rsid w:val="00F62DAF"/>
    <w:rsid w:val="00F63877"/>
    <w:rsid w:val="00F64BE8"/>
    <w:rsid w:val="00F666B5"/>
    <w:rsid w:val="00F67290"/>
    <w:rsid w:val="00F67CB7"/>
    <w:rsid w:val="00F70B5C"/>
    <w:rsid w:val="00F70C41"/>
    <w:rsid w:val="00F71A4B"/>
    <w:rsid w:val="00F72062"/>
    <w:rsid w:val="00F728C7"/>
    <w:rsid w:val="00F73451"/>
    <w:rsid w:val="00F74041"/>
    <w:rsid w:val="00F74BEB"/>
    <w:rsid w:val="00F74F72"/>
    <w:rsid w:val="00F75304"/>
    <w:rsid w:val="00F7668A"/>
    <w:rsid w:val="00F7746B"/>
    <w:rsid w:val="00F77C7A"/>
    <w:rsid w:val="00F81FD1"/>
    <w:rsid w:val="00F837A8"/>
    <w:rsid w:val="00F878A9"/>
    <w:rsid w:val="00F91713"/>
    <w:rsid w:val="00F930ED"/>
    <w:rsid w:val="00F938D6"/>
    <w:rsid w:val="00F93EF0"/>
    <w:rsid w:val="00F94944"/>
    <w:rsid w:val="00F95A82"/>
    <w:rsid w:val="00F95FEF"/>
    <w:rsid w:val="00F96304"/>
    <w:rsid w:val="00F9637A"/>
    <w:rsid w:val="00F9640E"/>
    <w:rsid w:val="00F967F6"/>
    <w:rsid w:val="00F972A0"/>
    <w:rsid w:val="00FA0610"/>
    <w:rsid w:val="00FA2900"/>
    <w:rsid w:val="00FA337E"/>
    <w:rsid w:val="00FA360F"/>
    <w:rsid w:val="00FA3872"/>
    <w:rsid w:val="00FA4A3E"/>
    <w:rsid w:val="00FA574B"/>
    <w:rsid w:val="00FA5757"/>
    <w:rsid w:val="00FA5C3E"/>
    <w:rsid w:val="00FA5C67"/>
    <w:rsid w:val="00FA5C7F"/>
    <w:rsid w:val="00FA6359"/>
    <w:rsid w:val="00FA66A0"/>
    <w:rsid w:val="00FA7478"/>
    <w:rsid w:val="00FB0448"/>
    <w:rsid w:val="00FB12B9"/>
    <w:rsid w:val="00FB345A"/>
    <w:rsid w:val="00FB3B29"/>
    <w:rsid w:val="00FB441D"/>
    <w:rsid w:val="00FB4D45"/>
    <w:rsid w:val="00FB5523"/>
    <w:rsid w:val="00FB6CDA"/>
    <w:rsid w:val="00FC0905"/>
    <w:rsid w:val="00FC2394"/>
    <w:rsid w:val="00FC2AB8"/>
    <w:rsid w:val="00FC3080"/>
    <w:rsid w:val="00FC40BF"/>
    <w:rsid w:val="00FC422C"/>
    <w:rsid w:val="00FC4F0A"/>
    <w:rsid w:val="00FC738C"/>
    <w:rsid w:val="00FC7DE8"/>
    <w:rsid w:val="00FC7E4E"/>
    <w:rsid w:val="00FD1843"/>
    <w:rsid w:val="00FD20FF"/>
    <w:rsid w:val="00FD21D0"/>
    <w:rsid w:val="00FD6796"/>
    <w:rsid w:val="00FD6BEA"/>
    <w:rsid w:val="00FD7987"/>
    <w:rsid w:val="00FE1824"/>
    <w:rsid w:val="00FE2CBF"/>
    <w:rsid w:val="00FE3D01"/>
    <w:rsid w:val="00FE4F97"/>
    <w:rsid w:val="00FE552E"/>
    <w:rsid w:val="00FE55CD"/>
    <w:rsid w:val="00FE5AF6"/>
    <w:rsid w:val="00FE7004"/>
    <w:rsid w:val="00FF348D"/>
    <w:rsid w:val="00FF5E06"/>
    <w:rsid w:val="00FF670D"/>
    <w:rsid w:val="00FF7B38"/>
    <w:rsid w:val="00FF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03"/>
    <w:pPr>
      <w:jc w:val="both"/>
    </w:pPr>
  </w:style>
  <w:style w:type="paragraph" w:styleId="Ttulo1">
    <w:name w:val="heading 1"/>
    <w:aliases w:val="EMENTA"/>
    <w:basedOn w:val="Normal"/>
    <w:next w:val="Normal"/>
    <w:qFormat/>
    <w:rsid w:val="00302903"/>
    <w:pPr>
      <w:keepNext/>
      <w:spacing w:after="240"/>
      <w:ind w:firstLine="1134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302903"/>
    <w:pPr>
      <w:keepNext/>
      <w:tabs>
        <w:tab w:val="left" w:pos="851"/>
      </w:tabs>
      <w:outlineLvl w:val="1"/>
    </w:pPr>
    <w:rPr>
      <w:i/>
    </w:rPr>
  </w:style>
  <w:style w:type="paragraph" w:styleId="Ttulo3">
    <w:name w:val="heading 3"/>
    <w:basedOn w:val="Normal"/>
    <w:next w:val="Normal"/>
    <w:link w:val="Ttulo3Char"/>
    <w:qFormat/>
    <w:rsid w:val="00302903"/>
    <w:pPr>
      <w:keepNext/>
      <w:ind w:left="4678" w:hanging="358"/>
      <w:jc w:val="left"/>
      <w:outlineLvl w:val="2"/>
    </w:pPr>
  </w:style>
  <w:style w:type="paragraph" w:styleId="Ttulo4">
    <w:name w:val="heading 4"/>
    <w:basedOn w:val="Normal"/>
    <w:next w:val="Normal"/>
    <w:qFormat/>
    <w:rsid w:val="00302903"/>
    <w:pPr>
      <w:keepNext/>
      <w:spacing w:after="120"/>
      <w:ind w:firstLine="1134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qFormat/>
    <w:rsid w:val="00302903"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302903"/>
    <w:pPr>
      <w:keepNext/>
      <w:spacing w:after="120"/>
      <w:outlineLvl w:val="5"/>
    </w:pPr>
    <w:rPr>
      <w:b/>
      <w:color w:val="000000"/>
    </w:rPr>
  </w:style>
  <w:style w:type="paragraph" w:styleId="Ttulo7">
    <w:name w:val="heading 7"/>
    <w:basedOn w:val="Normal"/>
    <w:next w:val="Normal"/>
    <w:qFormat/>
    <w:rsid w:val="00302903"/>
    <w:pPr>
      <w:keepNext/>
      <w:spacing w:after="120"/>
      <w:jc w:val="center"/>
      <w:outlineLvl w:val="6"/>
    </w:pPr>
    <w:rPr>
      <w:b/>
      <w:color w:val="00000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547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029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02903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302903"/>
    <w:pPr>
      <w:spacing w:after="240"/>
      <w:ind w:left="5103"/>
    </w:pPr>
  </w:style>
  <w:style w:type="paragraph" w:customStyle="1" w:styleId="Fechamento">
    <w:name w:val="Fechamento"/>
    <w:basedOn w:val="Normal"/>
    <w:rsid w:val="00302903"/>
    <w:pPr>
      <w:tabs>
        <w:tab w:val="left" w:pos="1418"/>
      </w:tabs>
      <w:jc w:val="center"/>
    </w:pPr>
  </w:style>
  <w:style w:type="paragraph" w:styleId="Corpodetexto">
    <w:name w:val="Body Text"/>
    <w:aliases w:val="Item da conclusão"/>
    <w:basedOn w:val="Normal"/>
    <w:link w:val="CorpodetextoChar"/>
    <w:rsid w:val="00302903"/>
  </w:style>
  <w:style w:type="paragraph" w:styleId="Recuodecorpodetexto">
    <w:name w:val="Body Text Indent"/>
    <w:basedOn w:val="Normal"/>
    <w:link w:val="RecuodecorpodetextoChar"/>
    <w:rsid w:val="00302903"/>
    <w:pPr>
      <w:ind w:firstLine="1134"/>
    </w:pPr>
  </w:style>
  <w:style w:type="character" w:styleId="Forte">
    <w:name w:val="Strong"/>
    <w:basedOn w:val="Fontepargpadro"/>
    <w:uiPriority w:val="22"/>
    <w:qFormat/>
    <w:rsid w:val="00302903"/>
    <w:rPr>
      <w:b/>
    </w:rPr>
  </w:style>
  <w:style w:type="paragraph" w:styleId="Corpodetexto2">
    <w:name w:val="Body Text 2"/>
    <w:basedOn w:val="Normal"/>
    <w:semiHidden/>
    <w:rsid w:val="00302903"/>
    <w:pPr>
      <w:jc w:val="center"/>
    </w:pPr>
    <w:rPr>
      <w:i/>
    </w:rPr>
  </w:style>
  <w:style w:type="paragraph" w:styleId="Corpodetexto3">
    <w:name w:val="Body Text 3"/>
    <w:basedOn w:val="Normal"/>
    <w:semiHidden/>
    <w:rsid w:val="00302903"/>
    <w:rPr>
      <w:i/>
    </w:rPr>
  </w:style>
  <w:style w:type="paragraph" w:styleId="Recuodecorpodetexto2">
    <w:name w:val="Body Text Indent 2"/>
    <w:basedOn w:val="Normal"/>
    <w:semiHidden/>
    <w:rsid w:val="00302903"/>
    <w:pPr>
      <w:ind w:left="708" w:firstLine="708"/>
    </w:pPr>
    <w:rPr>
      <w:b/>
      <w:i/>
    </w:rPr>
  </w:style>
  <w:style w:type="paragraph" w:customStyle="1" w:styleId="TCU-Centralizado">
    <w:name w:val="TCU - Centralizado"/>
    <w:basedOn w:val="Normal"/>
    <w:rsid w:val="00302903"/>
    <w:pPr>
      <w:jc w:val="center"/>
    </w:pPr>
  </w:style>
  <w:style w:type="paragraph" w:customStyle="1" w:styleId="Relatrio">
    <w:name w:val="Relatório"/>
    <w:basedOn w:val="Normal"/>
    <w:next w:val="Normal"/>
    <w:rsid w:val="00302903"/>
  </w:style>
  <w:style w:type="paragraph" w:styleId="MapadoDocumento">
    <w:name w:val="Document Map"/>
    <w:basedOn w:val="Normal"/>
    <w:semiHidden/>
    <w:rsid w:val="00302903"/>
    <w:pPr>
      <w:shd w:val="clear" w:color="auto" w:fill="000080"/>
    </w:pPr>
    <w:rPr>
      <w:rFonts w:ascii="Tahoma" w:hAnsi="Tahoma"/>
    </w:rPr>
  </w:style>
  <w:style w:type="paragraph" w:styleId="Textoembloco">
    <w:name w:val="Block Text"/>
    <w:basedOn w:val="Normal"/>
    <w:semiHidden/>
    <w:rsid w:val="00302903"/>
    <w:pPr>
      <w:ind w:left="1134" w:right="1466"/>
    </w:pPr>
    <w:rPr>
      <w:i/>
    </w:rPr>
  </w:style>
  <w:style w:type="paragraph" w:customStyle="1" w:styleId="pg">
    <w:name w:val="pg"/>
    <w:basedOn w:val="Normal"/>
    <w:rsid w:val="00302903"/>
    <w:pPr>
      <w:ind w:firstLine="1134"/>
    </w:pPr>
  </w:style>
  <w:style w:type="paragraph" w:styleId="Recuodecorpodetexto3">
    <w:name w:val="Body Text Indent 3"/>
    <w:basedOn w:val="Normal"/>
    <w:link w:val="Recuodecorpodetexto3Char"/>
    <w:semiHidden/>
    <w:rsid w:val="00302903"/>
    <w:pPr>
      <w:ind w:firstLine="720"/>
    </w:pPr>
    <w:rPr>
      <w:i/>
    </w:rPr>
  </w:style>
  <w:style w:type="paragraph" w:customStyle="1" w:styleId="Preformatted">
    <w:name w:val="Preformatted"/>
    <w:basedOn w:val="Normal"/>
    <w:rsid w:val="003029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</w:rPr>
  </w:style>
  <w:style w:type="paragraph" w:customStyle="1" w:styleId="Artigo">
    <w:name w:val="#Artigo"/>
    <w:basedOn w:val="Normal"/>
    <w:rsid w:val="00302903"/>
    <w:pPr>
      <w:widowControl w:val="0"/>
      <w:suppressAutoHyphens/>
      <w:spacing w:after="120"/>
      <w:ind w:firstLine="1134"/>
    </w:pPr>
  </w:style>
  <w:style w:type="paragraph" w:styleId="Pr-formataoHTML">
    <w:name w:val="HTML Preformatted"/>
    <w:basedOn w:val="Normal"/>
    <w:link w:val="Pr-formataoHTMLChar"/>
    <w:uiPriority w:val="99"/>
    <w:semiHidden/>
    <w:rsid w:val="00302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Verdana" w:eastAsia="Arial Unicode MS" w:hAnsi="Verdana" w:cs="Arial Unicode MS"/>
      <w:sz w:val="20"/>
    </w:rPr>
  </w:style>
  <w:style w:type="character" w:customStyle="1" w:styleId="highlightbrs1">
    <w:name w:val="highlightbrs1"/>
    <w:basedOn w:val="Fontepargpadro"/>
    <w:rsid w:val="00302903"/>
    <w:rPr>
      <w:b/>
      <w:bCs/>
      <w:color w:val="FF0000"/>
    </w:rPr>
  </w:style>
  <w:style w:type="character" w:customStyle="1" w:styleId="RodapChar">
    <w:name w:val="Rodapé Char"/>
    <w:basedOn w:val="Fontepargpadro"/>
    <w:link w:val="Rodap"/>
    <w:uiPriority w:val="99"/>
    <w:rsid w:val="002A4FE4"/>
    <w:rPr>
      <w:sz w:val="24"/>
    </w:rPr>
  </w:style>
  <w:style w:type="paragraph" w:customStyle="1" w:styleId="TCU-Ac-item9-">
    <w:name w:val="TCU - Ac - item 9 - §§"/>
    <w:basedOn w:val="Normal"/>
    <w:qFormat/>
    <w:rsid w:val="00F2130E"/>
    <w:pPr>
      <w:ind w:firstLine="1134"/>
    </w:pPr>
    <w:rPr>
      <w:szCs w:val="24"/>
      <w:lang w:eastAsia="en-US"/>
    </w:rPr>
  </w:style>
  <w:style w:type="paragraph" w:customStyle="1" w:styleId="TCU-RelVoto-demais">
    <w:name w:val="TCU - Rel/Voto - demais §§"/>
    <w:basedOn w:val="Normal"/>
    <w:qFormat/>
    <w:rsid w:val="00F2130E"/>
    <w:pPr>
      <w:tabs>
        <w:tab w:val="left" w:pos="1134"/>
      </w:tabs>
      <w:spacing w:after="160"/>
    </w:pPr>
    <w:rPr>
      <w:szCs w:val="24"/>
      <w:lang w:eastAsia="en-US"/>
    </w:rPr>
  </w:style>
  <w:style w:type="paragraph" w:customStyle="1" w:styleId="TCU-Transcrio">
    <w:name w:val="TCU - Transcrição"/>
    <w:basedOn w:val="Normal"/>
    <w:qFormat/>
    <w:rsid w:val="00F2130E"/>
    <w:pPr>
      <w:spacing w:after="120"/>
      <w:ind w:left="284" w:firstLine="567"/>
    </w:pPr>
    <w:rPr>
      <w:i/>
      <w:iCs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556C"/>
    <w:pPr>
      <w:spacing w:line="360" w:lineRule="auto"/>
      <w:ind w:firstLine="1200"/>
      <w:jc w:val="left"/>
    </w:pPr>
    <w:rPr>
      <w:szCs w:val="24"/>
    </w:rPr>
  </w:style>
  <w:style w:type="character" w:styleId="Hyperlink">
    <w:name w:val="Hyperlink"/>
    <w:basedOn w:val="Fontepargpadro"/>
    <w:uiPriority w:val="99"/>
    <w:semiHidden/>
    <w:unhideWhenUsed/>
    <w:rsid w:val="008F44FA"/>
    <w:rPr>
      <w:color w:val="0000FF"/>
      <w:u w:val="single"/>
    </w:rPr>
  </w:style>
  <w:style w:type="character" w:styleId="Nmerodepgina">
    <w:name w:val="page number"/>
    <w:basedOn w:val="Fontepargpadro"/>
    <w:semiHidden/>
    <w:rsid w:val="006E69A3"/>
  </w:style>
  <w:style w:type="paragraph" w:customStyle="1" w:styleId="RelatrioNumerado">
    <w:name w:val="Relatório Numerado"/>
    <w:basedOn w:val="Normal"/>
    <w:rsid w:val="009721E3"/>
    <w:pPr>
      <w:widowControl w:val="0"/>
      <w:numPr>
        <w:numId w:val="14"/>
      </w:numPr>
      <w:tabs>
        <w:tab w:val="left" w:pos="1134"/>
      </w:tabs>
    </w:pPr>
  </w:style>
  <w:style w:type="paragraph" w:customStyle="1" w:styleId="TCU-Recuo1LinhaAcrdo">
    <w:name w:val="TCU - Recuo 1ª Linha Acórdão"/>
    <w:basedOn w:val="Normal"/>
    <w:rsid w:val="006C05AC"/>
    <w:pPr>
      <w:ind w:firstLine="1134"/>
    </w:pPr>
  </w:style>
  <w:style w:type="paragraph" w:styleId="PargrafodaLista">
    <w:name w:val="List Paragraph"/>
    <w:basedOn w:val="Normal"/>
    <w:uiPriority w:val="34"/>
    <w:qFormat/>
    <w:rsid w:val="00670768"/>
    <w:pPr>
      <w:ind w:left="708"/>
    </w:pPr>
  </w:style>
  <w:style w:type="character" w:customStyle="1" w:styleId="Ttulo9Char">
    <w:name w:val="Título 9 Char"/>
    <w:basedOn w:val="Fontepargpadro"/>
    <w:link w:val="Ttulo9"/>
    <w:uiPriority w:val="9"/>
    <w:semiHidden/>
    <w:rsid w:val="0036547F"/>
    <w:rPr>
      <w:rFonts w:ascii="Cambria" w:eastAsia="Times New Roman" w:hAnsi="Cambria" w:cs="Times New Roman"/>
      <w:sz w:val="22"/>
      <w:szCs w:val="22"/>
    </w:rPr>
  </w:style>
  <w:style w:type="paragraph" w:customStyle="1" w:styleId="N-num1">
    <w:name w:val="N - num. 1"/>
    <w:basedOn w:val="Normal"/>
    <w:rsid w:val="0036547F"/>
    <w:pPr>
      <w:widowControl w:val="0"/>
      <w:tabs>
        <w:tab w:val="left" w:pos="1418"/>
      </w:tabs>
      <w:spacing w:before="240"/>
      <w:outlineLvl w:val="0"/>
    </w:pPr>
  </w:style>
  <w:style w:type="paragraph" w:customStyle="1" w:styleId="zzz">
    <w:name w:val="zzz"/>
    <w:basedOn w:val="Normal"/>
    <w:autoRedefine/>
    <w:rsid w:val="0036547F"/>
    <w:pPr>
      <w:tabs>
        <w:tab w:val="left" w:pos="0"/>
      </w:tabs>
      <w:spacing w:after="120"/>
      <w:jc w:val="center"/>
    </w:pPr>
  </w:style>
  <w:style w:type="paragraph" w:customStyle="1" w:styleId="a">
    <w:name w:val="a)"/>
    <w:basedOn w:val="Normal"/>
    <w:autoRedefine/>
    <w:rsid w:val="00861727"/>
    <w:pPr>
      <w:tabs>
        <w:tab w:val="left" w:pos="1134"/>
      </w:tabs>
      <w:ind w:left="-6"/>
    </w:pPr>
  </w:style>
  <w:style w:type="paragraph" w:customStyle="1" w:styleId="Blockquote">
    <w:name w:val="Blockquote"/>
    <w:basedOn w:val="Normal"/>
    <w:rsid w:val="004E00EB"/>
    <w:pPr>
      <w:spacing w:before="100" w:after="100"/>
      <w:ind w:left="360" w:right="360"/>
      <w:jc w:val="left"/>
    </w:pPr>
    <w:rPr>
      <w:snapToGrid w:val="0"/>
    </w:rPr>
  </w:style>
  <w:style w:type="paragraph" w:customStyle="1" w:styleId="TCU-Sumrio">
    <w:name w:val="TCU - Sumário"/>
    <w:basedOn w:val="Normal"/>
    <w:uiPriority w:val="99"/>
    <w:rsid w:val="0029149A"/>
    <w:pPr>
      <w:ind w:left="5103"/>
    </w:pPr>
    <w:rPr>
      <w:b/>
      <w:bCs/>
      <w:szCs w:val="24"/>
      <w:lang w:eastAsia="en-US"/>
    </w:rPr>
  </w:style>
  <w:style w:type="paragraph" w:styleId="Subttulo">
    <w:name w:val="Subtitle"/>
    <w:basedOn w:val="Normal"/>
    <w:next w:val="Normal"/>
    <w:link w:val="SubttuloChar"/>
    <w:uiPriority w:val="99"/>
    <w:qFormat/>
    <w:rsid w:val="00AE0C9F"/>
    <w:pPr>
      <w:numPr>
        <w:ilvl w:val="1"/>
      </w:numPr>
      <w:jc w:val="left"/>
    </w:pPr>
    <w:rPr>
      <w:i/>
      <w:iCs/>
      <w:spacing w:val="15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99"/>
    <w:rsid w:val="00AE0C9F"/>
    <w:rPr>
      <w:i/>
      <w:iCs/>
      <w:spacing w:val="15"/>
      <w:sz w:val="24"/>
      <w:szCs w:val="24"/>
      <w:lang w:eastAsia="en-US"/>
    </w:rPr>
  </w:style>
  <w:style w:type="paragraph" w:customStyle="1" w:styleId="TCU-RelVoto-1">
    <w:name w:val="TCU - Rel/Voto - 1º §"/>
    <w:basedOn w:val="Normal"/>
    <w:uiPriority w:val="99"/>
    <w:rsid w:val="00916B9B"/>
    <w:pPr>
      <w:spacing w:after="160"/>
      <w:ind w:firstLine="1134"/>
    </w:pPr>
    <w:rPr>
      <w:szCs w:val="24"/>
      <w:lang w:eastAsia="en-US"/>
    </w:rPr>
  </w:style>
  <w:style w:type="paragraph" w:customStyle="1" w:styleId="TCU-Epgrafe">
    <w:name w:val="TCU - Epígrafe"/>
    <w:basedOn w:val="Normal"/>
    <w:rsid w:val="00E2053B"/>
    <w:pPr>
      <w:ind w:left="2835"/>
    </w:pPr>
    <w:rPr>
      <w:rFonts w:ascii="Calibri" w:hAnsi="Calibri" w:cs="Calibri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517F"/>
    <w:rPr>
      <w:i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33B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33B"/>
    <w:rPr>
      <w:rFonts w:ascii="Tahoma" w:hAnsi="Tahoma" w:cs="Tahoma"/>
      <w:sz w:val="16"/>
      <w:szCs w:val="16"/>
      <w:lang w:eastAsia="en-US"/>
    </w:rPr>
  </w:style>
  <w:style w:type="paragraph" w:customStyle="1" w:styleId="Citao">
    <w:name w:val="#Citação"/>
    <w:rsid w:val="008B533B"/>
    <w:pPr>
      <w:spacing w:after="120"/>
      <w:ind w:left="1134" w:right="284" w:firstLine="567"/>
      <w:jc w:val="both"/>
    </w:pPr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6920F7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Ttulo3Char">
    <w:name w:val="Título 3 Char"/>
    <w:basedOn w:val="Fontepargpadro"/>
    <w:link w:val="Ttulo3"/>
    <w:rsid w:val="00C3499E"/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499E"/>
    <w:rPr>
      <w:sz w:val="24"/>
    </w:rPr>
  </w:style>
  <w:style w:type="character" w:customStyle="1" w:styleId="CorpodetextoChar">
    <w:name w:val="Corpo de texto Char"/>
    <w:aliases w:val="Item da conclusão Char"/>
    <w:basedOn w:val="Fontepargpadro"/>
    <w:link w:val="Corpodetexto"/>
    <w:rsid w:val="00C3499E"/>
    <w:rPr>
      <w:sz w:val="24"/>
    </w:rPr>
  </w:style>
  <w:style w:type="paragraph" w:customStyle="1" w:styleId="Acordao-VISTOS-em-diante">
    <w:name w:val="#Acordao-VISTOS-em-diante"/>
    <w:uiPriority w:val="99"/>
    <w:rsid w:val="00C3499E"/>
    <w:pPr>
      <w:ind w:firstLine="1134"/>
      <w:jc w:val="both"/>
    </w:pPr>
    <w:rPr>
      <w:szCs w:val="24"/>
      <w:lang w:eastAsia="en-US"/>
    </w:rPr>
  </w:style>
  <w:style w:type="paragraph" w:customStyle="1" w:styleId="Normal0">
    <w:name w:val="#Normal"/>
    <w:uiPriority w:val="99"/>
    <w:rsid w:val="00C3499E"/>
    <w:pPr>
      <w:spacing w:before="120" w:after="120"/>
      <w:ind w:firstLine="1134"/>
      <w:jc w:val="both"/>
    </w:pPr>
    <w:rPr>
      <w:szCs w:val="24"/>
      <w:lang w:eastAsia="en-US"/>
    </w:rPr>
  </w:style>
  <w:style w:type="paragraph" w:customStyle="1" w:styleId="Normal-numerado-REL01">
    <w:name w:val="#Normal-numerado-REL_01"/>
    <w:qFormat/>
    <w:rsid w:val="00C3499E"/>
    <w:pPr>
      <w:numPr>
        <w:numId w:val="24"/>
      </w:numPr>
      <w:tabs>
        <w:tab w:val="left" w:pos="1134"/>
      </w:tabs>
      <w:suppressAutoHyphens/>
      <w:spacing w:before="120" w:after="120"/>
      <w:ind w:left="720"/>
      <w:jc w:val="both"/>
    </w:pPr>
    <w:rPr>
      <w:szCs w:val="24"/>
      <w:lang w:eastAsia="ar-SA"/>
    </w:rPr>
  </w:style>
  <w:style w:type="paragraph" w:customStyle="1" w:styleId="Normal-numerado-VOT01">
    <w:name w:val="#Normal-numerado-VOT_01"/>
    <w:basedOn w:val="Normal-numerado-REL01"/>
    <w:uiPriority w:val="99"/>
    <w:rsid w:val="00C3499E"/>
    <w:pPr>
      <w:numPr>
        <w:numId w:val="25"/>
      </w:numPr>
    </w:pPr>
  </w:style>
  <w:style w:type="paragraph" w:customStyle="1" w:styleId="Normal-bullet">
    <w:name w:val="#Normal-bullet"/>
    <w:uiPriority w:val="99"/>
    <w:qFormat/>
    <w:rsid w:val="00C3499E"/>
    <w:pPr>
      <w:numPr>
        <w:numId w:val="26"/>
      </w:numPr>
      <w:tabs>
        <w:tab w:val="left" w:pos="1134"/>
      </w:tabs>
      <w:spacing w:before="60" w:after="60"/>
      <w:ind w:left="1134"/>
      <w:jc w:val="both"/>
    </w:pPr>
    <w:rPr>
      <w:szCs w:val="24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7466B"/>
    <w:rPr>
      <w:rFonts w:ascii="Verdana" w:eastAsia="Arial Unicode MS" w:hAnsi="Verdana" w:cs="Arial Unicode MS"/>
    </w:rPr>
  </w:style>
  <w:style w:type="paragraph" w:customStyle="1" w:styleId="desc">
    <w:name w:val="desc"/>
    <w:basedOn w:val="Normal"/>
    <w:rsid w:val="0057466B"/>
    <w:pPr>
      <w:jc w:val="left"/>
    </w:pPr>
    <w:rPr>
      <w:szCs w:val="24"/>
    </w:rPr>
  </w:style>
  <w:style w:type="character" w:customStyle="1" w:styleId="green1">
    <w:name w:val="green1"/>
    <w:basedOn w:val="Fontepargpadro"/>
    <w:rsid w:val="00251570"/>
    <w:rPr>
      <w:color w:val="3E5B16"/>
    </w:rPr>
  </w:style>
  <w:style w:type="character" w:customStyle="1" w:styleId="CabealhoChar">
    <w:name w:val="Cabeçalho Char"/>
    <w:basedOn w:val="Fontepargpadro"/>
    <w:link w:val="Cabealho"/>
    <w:uiPriority w:val="99"/>
    <w:rsid w:val="00B97679"/>
  </w:style>
  <w:style w:type="table" w:styleId="Tabelacomgrade">
    <w:name w:val="Table Grid"/>
    <w:basedOn w:val="Tabelanormal"/>
    <w:uiPriority w:val="59"/>
    <w:rsid w:val="002F2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5875">
                  <w:marLeft w:val="0"/>
                  <w:marRight w:val="0"/>
                  <w:marTop w:val="7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2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3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8194">
                  <w:marLeft w:val="0"/>
                  <w:marRight w:val="0"/>
                  <w:marTop w:val="7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3701">
                  <w:marLeft w:val="0"/>
                  <w:marRight w:val="0"/>
                  <w:marTop w:val="7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9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2715">
                  <w:marLeft w:val="0"/>
                  <w:marRight w:val="0"/>
                  <w:marTop w:val="7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5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2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64461">
                  <w:marLeft w:val="24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7" w:color="D4D4D4"/>
                            <w:left w:val="single" w:sz="4" w:space="0" w:color="D4D4D4"/>
                            <w:bottom w:val="single" w:sz="4" w:space="0" w:color="D4D4D4"/>
                            <w:right w:val="single" w:sz="4" w:space="13" w:color="D4D4D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5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550">
                  <w:marLeft w:val="0"/>
                  <w:marRight w:val="0"/>
                  <w:marTop w:val="7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1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8544">
                  <w:marLeft w:val="0"/>
                  <w:marRight w:val="0"/>
                  <w:marTop w:val="7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444">
                  <w:marLeft w:val="0"/>
                  <w:marRight w:val="0"/>
                  <w:marTop w:val="7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4091">
                  <w:marLeft w:val="0"/>
                  <w:marRight w:val="0"/>
                  <w:marTop w:val="7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39815">
                  <w:marLeft w:val="0"/>
                  <w:marRight w:val="0"/>
                  <w:marTop w:val="7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7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7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7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2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1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9734">
                  <w:marLeft w:val="0"/>
                  <w:marRight w:val="0"/>
                  <w:marTop w:val="7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8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2409">
                  <w:marLeft w:val="0"/>
                  <w:marRight w:val="0"/>
                  <w:marTop w:val="7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5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4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5352A-702D-41BD-9B43-60C96DA9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3185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 – 500</vt:lpstr>
    </vt:vector>
  </TitlesOfParts>
  <Company>TCU</Company>
  <LinksUpToDate>false</LinksUpToDate>
  <CharactersWithSpaces>20344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– 500</dc:title>
  <dc:creator>TCU</dc:creator>
  <cp:lastModifiedBy>Alexandre</cp:lastModifiedBy>
  <cp:revision>2</cp:revision>
  <cp:lastPrinted>2011-09-19T22:07:00Z</cp:lastPrinted>
  <dcterms:created xsi:type="dcterms:W3CDTF">2012-11-07T16:23:00Z</dcterms:created>
  <dcterms:modified xsi:type="dcterms:W3CDTF">2012-11-07T16:23:00Z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copo">
    <vt:lpwstr>Compartilhado</vt:lpwstr>
  </property>
</Properties>
</file>