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FE" w:rsidRPr="00A428FE" w:rsidRDefault="002E6666" w:rsidP="00A428FE">
      <w:pPr>
        <w:tabs>
          <w:tab w:val="left" w:pos="1134"/>
        </w:tabs>
        <w:ind w:left="4956"/>
        <w:jc w:val="both"/>
        <w:rPr>
          <w:rFonts w:eastAsiaTheme="minorHAnsi"/>
          <w:b/>
          <w:sz w:val="24"/>
          <w:szCs w:val="24"/>
          <w:lang w:eastAsia="en-US"/>
        </w:rPr>
      </w:pPr>
      <w:r w:rsidRPr="00237A85">
        <w:rPr>
          <w:sz w:val="24"/>
          <w:szCs w:val="24"/>
        </w:rPr>
        <w:tab/>
      </w:r>
      <w:r w:rsidR="00A428FE" w:rsidRPr="00A428FE">
        <w:rPr>
          <w:rFonts w:eastAsiaTheme="minorHAnsi"/>
          <w:b/>
          <w:sz w:val="24"/>
          <w:szCs w:val="24"/>
          <w:lang w:eastAsia="en-US"/>
        </w:rPr>
        <w:t>TC 021.897/2013-1</w:t>
      </w:r>
    </w:p>
    <w:p w:rsidR="00A428FE" w:rsidRPr="00A428FE" w:rsidRDefault="00A428FE" w:rsidP="00A428FE">
      <w:pPr>
        <w:tabs>
          <w:tab w:val="left" w:pos="1134"/>
        </w:tabs>
        <w:spacing w:line="276" w:lineRule="auto"/>
        <w:ind w:left="4956"/>
        <w:jc w:val="both"/>
        <w:rPr>
          <w:rFonts w:eastAsiaTheme="minorHAnsi"/>
          <w:sz w:val="24"/>
          <w:szCs w:val="24"/>
          <w:lang w:eastAsia="en-US"/>
        </w:rPr>
      </w:pPr>
      <w:r w:rsidRPr="00A428FE">
        <w:rPr>
          <w:rFonts w:eastAsiaTheme="minorHAnsi"/>
          <w:b/>
          <w:sz w:val="24"/>
          <w:szCs w:val="24"/>
          <w:lang w:eastAsia="en-US"/>
        </w:rPr>
        <w:t>Tipo:</w:t>
      </w:r>
      <w:r w:rsidRPr="00A428FE">
        <w:rPr>
          <w:rFonts w:eastAsiaTheme="minorHAnsi"/>
          <w:sz w:val="24"/>
          <w:szCs w:val="24"/>
          <w:lang w:eastAsia="en-US"/>
        </w:rPr>
        <w:t xml:space="preserve"> Tomada de Contas Especial</w:t>
      </w:r>
    </w:p>
    <w:p w:rsidR="00A428FE" w:rsidRPr="00A428FE" w:rsidRDefault="00A428FE" w:rsidP="00A428FE">
      <w:pPr>
        <w:tabs>
          <w:tab w:val="left" w:pos="1134"/>
        </w:tabs>
        <w:spacing w:line="276" w:lineRule="auto"/>
        <w:ind w:left="4956"/>
        <w:jc w:val="both"/>
        <w:rPr>
          <w:rFonts w:eastAsiaTheme="minorHAnsi"/>
          <w:sz w:val="24"/>
          <w:szCs w:val="24"/>
          <w:lang w:eastAsia="en-US"/>
        </w:rPr>
      </w:pPr>
      <w:r w:rsidRPr="00A428FE">
        <w:rPr>
          <w:rFonts w:eastAsiaTheme="minorHAnsi"/>
          <w:b/>
          <w:sz w:val="24"/>
          <w:szCs w:val="24"/>
          <w:lang w:eastAsia="en-US"/>
        </w:rPr>
        <w:t>Unidade jurisdicionada:</w:t>
      </w:r>
      <w:r w:rsidRPr="00A428FE">
        <w:rPr>
          <w:rFonts w:eastAsiaTheme="minorHAnsi"/>
          <w:sz w:val="24"/>
          <w:szCs w:val="24"/>
          <w:lang w:eastAsia="en-US"/>
        </w:rPr>
        <w:t xml:space="preserve"> PM de Condado-PB</w:t>
      </w:r>
    </w:p>
    <w:p w:rsidR="00A428FE" w:rsidRPr="00A428FE" w:rsidRDefault="00A428FE" w:rsidP="00A428FE">
      <w:pPr>
        <w:tabs>
          <w:tab w:val="left" w:pos="1134"/>
        </w:tabs>
        <w:spacing w:line="276" w:lineRule="auto"/>
        <w:ind w:left="4956"/>
        <w:jc w:val="both"/>
        <w:rPr>
          <w:rFonts w:eastAsiaTheme="minorHAnsi"/>
          <w:sz w:val="24"/>
          <w:szCs w:val="24"/>
          <w:lang w:eastAsia="en-US"/>
        </w:rPr>
      </w:pPr>
      <w:r w:rsidRPr="00A428FE">
        <w:rPr>
          <w:rFonts w:eastAsiaTheme="minorHAnsi"/>
          <w:b/>
          <w:sz w:val="24"/>
          <w:szCs w:val="24"/>
          <w:lang w:eastAsia="en-US"/>
        </w:rPr>
        <w:t>Responsável:</w:t>
      </w:r>
      <w:r w:rsidRPr="00A428FE">
        <w:rPr>
          <w:rFonts w:eastAsiaTheme="minorHAnsi"/>
          <w:sz w:val="24"/>
          <w:szCs w:val="24"/>
          <w:lang w:eastAsia="en-US"/>
        </w:rPr>
        <w:t xml:space="preserve"> Antônia Linhares Fernandes (CPF 146.524.124-87); ex-Prefeita; José Roberto Marcelino Pereira (CPF 568.300.504-30), proprietário de fato da empresa S. J. L Construções e Serviços Ltda.</w:t>
      </w:r>
      <w:r w:rsidR="003F41A2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3F41A2">
        <w:rPr>
          <w:rFonts w:eastAsiaTheme="minorHAnsi"/>
          <w:sz w:val="24"/>
          <w:szCs w:val="24"/>
          <w:lang w:eastAsia="en-US"/>
        </w:rPr>
        <w:t>Edvan</w:t>
      </w:r>
      <w:proofErr w:type="spellEnd"/>
      <w:r w:rsidR="003F41A2">
        <w:rPr>
          <w:rFonts w:eastAsiaTheme="minorHAnsi"/>
          <w:sz w:val="24"/>
          <w:szCs w:val="24"/>
          <w:lang w:eastAsia="en-US"/>
        </w:rPr>
        <w:t xml:space="preserve"> Pereira de Oliveira Júnior (CPF 033.599.704-03), Francisco Canindé da Silva Dantas (CPF 040.994.684-29), José </w:t>
      </w:r>
      <w:proofErr w:type="spellStart"/>
      <w:r w:rsidR="003F41A2">
        <w:rPr>
          <w:rFonts w:eastAsiaTheme="minorHAnsi"/>
          <w:sz w:val="24"/>
          <w:szCs w:val="24"/>
          <w:lang w:eastAsia="en-US"/>
        </w:rPr>
        <w:t>Altemir</w:t>
      </w:r>
      <w:proofErr w:type="spellEnd"/>
      <w:r w:rsidR="003F41A2">
        <w:rPr>
          <w:rFonts w:eastAsiaTheme="minorHAnsi"/>
          <w:sz w:val="24"/>
          <w:szCs w:val="24"/>
          <w:lang w:eastAsia="en-US"/>
        </w:rPr>
        <w:t xml:space="preserve"> Dantas (CPF 045.013.184-06), Saulo José de Lima (CPF 078.530.504-10), </w:t>
      </w:r>
      <w:r w:rsidR="003F41A2" w:rsidRPr="00A428FE">
        <w:rPr>
          <w:rFonts w:eastAsiaTheme="minorHAnsi"/>
          <w:sz w:val="24"/>
          <w:szCs w:val="24"/>
          <w:lang w:eastAsia="en-US"/>
        </w:rPr>
        <w:t>S. J. L Construções e Serviços Ltda.</w:t>
      </w:r>
      <w:r w:rsidR="003F41A2">
        <w:rPr>
          <w:rFonts w:eastAsiaTheme="minorHAnsi"/>
          <w:sz w:val="24"/>
          <w:szCs w:val="24"/>
          <w:lang w:eastAsia="en-US"/>
        </w:rPr>
        <w:t xml:space="preserve"> (CNPJ 04.966.148/0001-36).</w:t>
      </w:r>
    </w:p>
    <w:p w:rsidR="00A428FE" w:rsidRPr="00A428FE" w:rsidRDefault="00A428FE" w:rsidP="00A428FE">
      <w:pPr>
        <w:tabs>
          <w:tab w:val="left" w:pos="1134"/>
        </w:tabs>
        <w:spacing w:line="276" w:lineRule="auto"/>
        <w:ind w:left="4956"/>
        <w:jc w:val="both"/>
        <w:rPr>
          <w:rFonts w:eastAsiaTheme="minorHAnsi"/>
          <w:sz w:val="24"/>
          <w:szCs w:val="24"/>
          <w:lang w:eastAsia="en-US"/>
        </w:rPr>
      </w:pPr>
      <w:r w:rsidRPr="00A428FE">
        <w:rPr>
          <w:rFonts w:eastAsiaTheme="minorHAnsi"/>
          <w:b/>
          <w:sz w:val="24"/>
          <w:szCs w:val="24"/>
          <w:lang w:eastAsia="en-US"/>
        </w:rPr>
        <w:t>Advogado ou Procurador:</w:t>
      </w:r>
      <w:r w:rsidRPr="00A428FE">
        <w:rPr>
          <w:rFonts w:eastAsiaTheme="minorHAnsi"/>
          <w:sz w:val="24"/>
          <w:szCs w:val="24"/>
          <w:lang w:eastAsia="en-US"/>
        </w:rPr>
        <w:t xml:space="preserve"> não há.</w:t>
      </w:r>
    </w:p>
    <w:p w:rsidR="00A428FE" w:rsidRPr="00A428FE" w:rsidRDefault="00A428FE" w:rsidP="00A428FE">
      <w:pPr>
        <w:tabs>
          <w:tab w:val="left" w:pos="1134"/>
        </w:tabs>
        <w:spacing w:line="276" w:lineRule="auto"/>
        <w:ind w:left="4956"/>
        <w:jc w:val="both"/>
        <w:rPr>
          <w:rFonts w:eastAsiaTheme="minorHAnsi"/>
          <w:sz w:val="24"/>
          <w:szCs w:val="24"/>
          <w:lang w:eastAsia="en-US"/>
        </w:rPr>
      </w:pPr>
      <w:r w:rsidRPr="00A428FE">
        <w:rPr>
          <w:rFonts w:eastAsiaTheme="minorHAnsi"/>
          <w:b/>
          <w:sz w:val="24"/>
          <w:szCs w:val="24"/>
          <w:lang w:eastAsia="en-US"/>
        </w:rPr>
        <w:t>Interessado em sustentação oral:</w:t>
      </w:r>
      <w:r w:rsidRPr="00A428FE">
        <w:rPr>
          <w:rFonts w:eastAsiaTheme="minorHAnsi"/>
          <w:sz w:val="24"/>
          <w:szCs w:val="24"/>
          <w:lang w:eastAsia="en-US"/>
        </w:rPr>
        <w:t xml:space="preserve"> não há.</w:t>
      </w:r>
    </w:p>
    <w:p w:rsidR="00B12468" w:rsidRPr="00430405" w:rsidRDefault="00A428FE" w:rsidP="00A428FE">
      <w:pPr>
        <w:spacing w:before="60"/>
        <w:ind w:left="4962"/>
        <w:jc w:val="both"/>
        <w:rPr>
          <w:b/>
          <w:sz w:val="24"/>
          <w:szCs w:val="24"/>
        </w:rPr>
      </w:pPr>
      <w:r w:rsidRPr="00A428FE">
        <w:rPr>
          <w:rFonts w:eastAsiaTheme="minorHAnsi"/>
          <w:b/>
          <w:sz w:val="24"/>
          <w:szCs w:val="24"/>
          <w:lang w:eastAsia="en-US"/>
        </w:rPr>
        <w:t>Proposta:</w:t>
      </w:r>
      <w:r w:rsidRPr="00A428F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Mérito</w:t>
      </w:r>
    </w:p>
    <w:p w:rsidR="00B12468" w:rsidRPr="00557289" w:rsidRDefault="00B12468" w:rsidP="00B12468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557289">
        <w:rPr>
          <w:b/>
          <w:sz w:val="24"/>
          <w:szCs w:val="24"/>
        </w:rPr>
        <w:t>INTRODUÇÃO</w:t>
      </w:r>
    </w:p>
    <w:p w:rsidR="00C12E6E" w:rsidRPr="00713069" w:rsidRDefault="00C12E6E" w:rsidP="00C12E6E">
      <w:pPr>
        <w:widowControl w:val="0"/>
        <w:tabs>
          <w:tab w:val="left" w:pos="1134"/>
        </w:tabs>
        <w:spacing w:before="120"/>
        <w:jc w:val="both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113C2C">
        <w:rPr>
          <w:sz w:val="24"/>
          <w:szCs w:val="24"/>
        </w:rPr>
        <w:t xml:space="preserve">Cuidam os autos de tomada de contas especial instaurada pela Coordenação Regional da Fundação Nacional de Saúde-Funasa, em desfavor da Sra. Antônia Linhares Fernandes, ex-prefeita do município de Condado-PB, em razão da não aprovação da prestação de contas dos recursos repassados por conta do </w:t>
      </w:r>
      <w:r>
        <w:rPr>
          <w:sz w:val="24"/>
          <w:szCs w:val="24"/>
        </w:rPr>
        <w:t>C</w:t>
      </w:r>
      <w:r w:rsidRPr="00113C2C">
        <w:rPr>
          <w:sz w:val="24"/>
          <w:szCs w:val="24"/>
        </w:rPr>
        <w:t>onvênio 1125/2006 (</w:t>
      </w:r>
      <w:proofErr w:type="spellStart"/>
      <w:r w:rsidRPr="00113C2C">
        <w:rPr>
          <w:sz w:val="24"/>
          <w:szCs w:val="24"/>
        </w:rPr>
        <w:t>Siafi</w:t>
      </w:r>
      <w:proofErr w:type="spellEnd"/>
      <w:r w:rsidRPr="00113C2C">
        <w:rPr>
          <w:sz w:val="24"/>
          <w:szCs w:val="24"/>
        </w:rPr>
        <w:t xml:space="preserve"> 569762</w:t>
      </w:r>
      <w:r>
        <w:rPr>
          <w:sz w:val="24"/>
          <w:szCs w:val="24"/>
        </w:rPr>
        <w:t>)</w:t>
      </w:r>
      <w:r w:rsidRPr="00113C2C">
        <w:rPr>
          <w:sz w:val="24"/>
          <w:szCs w:val="24"/>
        </w:rPr>
        <w:t xml:space="preserve">, que teve por objeto a "Execução de Melhorias Sanitárias Domiciliares", conforme o Plano de </w:t>
      </w:r>
      <w:r w:rsidRPr="00CC58DB">
        <w:rPr>
          <w:sz w:val="24"/>
          <w:szCs w:val="24"/>
        </w:rPr>
        <w:t xml:space="preserve">Trabalho </w:t>
      </w:r>
      <w:r>
        <w:rPr>
          <w:sz w:val="24"/>
          <w:szCs w:val="24"/>
        </w:rPr>
        <w:t xml:space="preserve">(peça 1, </w:t>
      </w:r>
      <w:r w:rsidRPr="00CC58DB">
        <w:rPr>
          <w:sz w:val="24"/>
          <w:szCs w:val="24"/>
        </w:rPr>
        <w:t>p. 11</w:t>
      </w:r>
      <w:r>
        <w:rPr>
          <w:sz w:val="24"/>
          <w:szCs w:val="24"/>
        </w:rPr>
        <w:t>-</w:t>
      </w:r>
      <w:r w:rsidRPr="00CC58DB">
        <w:rPr>
          <w:sz w:val="24"/>
          <w:szCs w:val="24"/>
        </w:rPr>
        <w:t>33</w:t>
      </w:r>
      <w:r>
        <w:rPr>
          <w:sz w:val="24"/>
          <w:szCs w:val="24"/>
        </w:rPr>
        <w:t>)</w:t>
      </w:r>
      <w:r w:rsidRPr="00CC58DB">
        <w:rPr>
          <w:sz w:val="24"/>
          <w:szCs w:val="24"/>
        </w:rPr>
        <w:t>,</w:t>
      </w:r>
      <w:r w:rsidRPr="00113C2C">
        <w:rPr>
          <w:sz w:val="24"/>
          <w:szCs w:val="24"/>
        </w:rPr>
        <w:t xml:space="preserve"> com vigência inicial incidente no período de 20/6/2006 a 16/12/2009</w:t>
      </w:r>
      <w:r>
        <w:rPr>
          <w:sz w:val="24"/>
          <w:szCs w:val="24"/>
        </w:rPr>
        <w:t>.</w:t>
      </w:r>
    </w:p>
    <w:p w:rsidR="00C12E6E" w:rsidRPr="00B12468" w:rsidRDefault="00C12E6E" w:rsidP="00C12E6E">
      <w:pPr>
        <w:pStyle w:val="Ttulo4"/>
        <w:keepNext w:val="0"/>
        <w:widowControl w:val="0"/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r w:rsidRPr="00B12468">
        <w:rPr>
          <w:rFonts w:ascii="Times New Roman" w:hAnsi="Times New Roman"/>
          <w:sz w:val="24"/>
          <w:szCs w:val="24"/>
        </w:rPr>
        <w:t xml:space="preserve">HISTÓRICO </w:t>
      </w:r>
    </w:p>
    <w:p w:rsidR="00C12E6E" w:rsidRPr="00A428FE" w:rsidRDefault="00C12E6E" w:rsidP="00C12E6E">
      <w:pPr>
        <w:tabs>
          <w:tab w:val="left" w:pos="1134"/>
        </w:tabs>
        <w:spacing w:before="12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428FE">
        <w:rPr>
          <w:rFonts w:eastAsiaTheme="minorHAnsi"/>
          <w:sz w:val="24"/>
          <w:szCs w:val="24"/>
          <w:lang w:eastAsia="en-US"/>
        </w:rPr>
        <w:t>2.</w:t>
      </w:r>
      <w:r w:rsidRPr="00A428FE">
        <w:rPr>
          <w:rFonts w:eastAsiaTheme="minorHAnsi"/>
          <w:sz w:val="24"/>
          <w:szCs w:val="24"/>
          <w:lang w:eastAsia="en-US"/>
        </w:rPr>
        <w:tab/>
        <w:t>Conforme</w:t>
      </w:r>
      <w:proofErr w:type="gramEnd"/>
      <w:r w:rsidRPr="00A428FE">
        <w:rPr>
          <w:rFonts w:eastAsiaTheme="minorHAnsi"/>
          <w:sz w:val="24"/>
          <w:szCs w:val="24"/>
          <w:lang w:eastAsia="en-US"/>
        </w:rPr>
        <w:t xml:space="preserve"> disposto no termo de convênio, foram previstos R$ 123.600,00 para a execução do objeto, dos quais R$ 120.000,00 seriam repassados pelo concedente e R$ 3.600,00 corresponderiam à contrapartida.</w:t>
      </w:r>
    </w:p>
    <w:p w:rsidR="00C12E6E" w:rsidRPr="00A428FE" w:rsidRDefault="00C12E6E" w:rsidP="00C12E6E">
      <w:pPr>
        <w:tabs>
          <w:tab w:val="left" w:pos="1134"/>
        </w:tabs>
        <w:spacing w:before="12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428FE">
        <w:rPr>
          <w:rFonts w:eastAsiaTheme="minorHAnsi"/>
          <w:sz w:val="24"/>
          <w:szCs w:val="24"/>
          <w:lang w:eastAsia="en-US"/>
        </w:rPr>
        <w:t>3.</w:t>
      </w:r>
      <w:r w:rsidRPr="00A428FE">
        <w:rPr>
          <w:rFonts w:eastAsiaTheme="minorHAnsi"/>
          <w:sz w:val="24"/>
          <w:szCs w:val="24"/>
          <w:lang w:eastAsia="en-US"/>
        </w:rPr>
        <w:tab/>
        <w:t>Do</w:t>
      </w:r>
      <w:proofErr w:type="gramEnd"/>
      <w:r w:rsidRPr="00A428FE">
        <w:rPr>
          <w:rFonts w:eastAsiaTheme="minorHAnsi"/>
          <w:sz w:val="24"/>
          <w:szCs w:val="24"/>
          <w:lang w:eastAsia="en-US"/>
        </w:rPr>
        <w:t xml:space="preserve"> montante total previsto, foram repassados R$ 96.000,00 em duas parcelas, mediante a ordem bancária 2007OB902540, no valor de R$ 4</w:t>
      </w:r>
      <w:r>
        <w:rPr>
          <w:rFonts w:eastAsiaTheme="minorHAnsi"/>
          <w:sz w:val="24"/>
          <w:szCs w:val="24"/>
          <w:lang w:eastAsia="en-US"/>
        </w:rPr>
        <w:t>8.000,00, emitida em 5/3/2007 (</w:t>
      </w:r>
      <w:r w:rsidRPr="00A428FE">
        <w:rPr>
          <w:rFonts w:eastAsiaTheme="minorHAnsi"/>
          <w:sz w:val="24"/>
          <w:szCs w:val="24"/>
          <w:lang w:eastAsia="en-US"/>
        </w:rPr>
        <w:t>peça 1</w:t>
      </w:r>
      <w:r>
        <w:rPr>
          <w:rFonts w:eastAsiaTheme="minorHAnsi"/>
          <w:sz w:val="24"/>
          <w:szCs w:val="24"/>
          <w:lang w:eastAsia="en-US"/>
        </w:rPr>
        <w:t>, p. 50</w:t>
      </w:r>
      <w:r w:rsidRPr="00A428FE">
        <w:rPr>
          <w:rFonts w:eastAsiaTheme="minorHAnsi"/>
          <w:sz w:val="24"/>
          <w:szCs w:val="24"/>
          <w:lang w:eastAsia="en-US"/>
        </w:rPr>
        <w:t>), creditada na conta corrente es</w:t>
      </w:r>
      <w:r>
        <w:rPr>
          <w:rFonts w:eastAsiaTheme="minorHAnsi"/>
          <w:sz w:val="24"/>
          <w:szCs w:val="24"/>
          <w:lang w:eastAsia="en-US"/>
        </w:rPr>
        <w:t>pecífica em 7/3/2007 (</w:t>
      </w:r>
      <w:r w:rsidRPr="00A428FE">
        <w:rPr>
          <w:rFonts w:eastAsiaTheme="minorHAnsi"/>
          <w:sz w:val="24"/>
          <w:szCs w:val="24"/>
          <w:lang w:eastAsia="en-US"/>
        </w:rPr>
        <w:t>peça 1</w:t>
      </w:r>
      <w:r>
        <w:rPr>
          <w:rFonts w:eastAsiaTheme="minorHAnsi"/>
          <w:sz w:val="24"/>
          <w:szCs w:val="24"/>
          <w:lang w:eastAsia="en-US"/>
        </w:rPr>
        <w:t>, p. 262</w:t>
      </w:r>
      <w:r w:rsidRPr="00A428FE">
        <w:rPr>
          <w:rFonts w:eastAsiaTheme="minorHAnsi"/>
          <w:sz w:val="24"/>
          <w:szCs w:val="24"/>
          <w:lang w:eastAsia="en-US"/>
        </w:rPr>
        <w:t>), e a ordem bancária 2007OB05191, também no valor de R$ 48.000,00, emitida em 23/4/2007 (p</w:t>
      </w:r>
      <w:r>
        <w:rPr>
          <w:rFonts w:eastAsiaTheme="minorHAnsi"/>
          <w:sz w:val="24"/>
          <w:szCs w:val="24"/>
          <w:lang w:eastAsia="en-US"/>
        </w:rPr>
        <w:t>eça 1, p</w:t>
      </w:r>
      <w:r w:rsidRPr="00A428FE">
        <w:rPr>
          <w:rFonts w:eastAsiaTheme="minorHAnsi"/>
          <w:sz w:val="24"/>
          <w:szCs w:val="24"/>
          <w:lang w:eastAsia="en-US"/>
        </w:rPr>
        <w:t>. 52) e creditada em 25/4/2007 (p</w:t>
      </w:r>
      <w:r>
        <w:rPr>
          <w:rFonts w:eastAsiaTheme="minorHAnsi"/>
          <w:sz w:val="24"/>
          <w:szCs w:val="24"/>
          <w:lang w:eastAsia="en-US"/>
        </w:rPr>
        <w:t>eça 1, p</w:t>
      </w:r>
      <w:r w:rsidRPr="00A428FE">
        <w:rPr>
          <w:rFonts w:eastAsiaTheme="minorHAnsi"/>
          <w:sz w:val="24"/>
          <w:szCs w:val="24"/>
          <w:lang w:eastAsia="en-US"/>
        </w:rPr>
        <w:t xml:space="preserve">. 266). </w:t>
      </w:r>
    </w:p>
    <w:p w:rsidR="00C12E6E" w:rsidRPr="00A428FE" w:rsidRDefault="00C12E6E" w:rsidP="00C12E6E">
      <w:pPr>
        <w:tabs>
          <w:tab w:val="left" w:pos="1134"/>
        </w:tabs>
        <w:spacing w:before="12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428FE">
        <w:rPr>
          <w:rFonts w:eastAsiaTheme="minorHAnsi"/>
          <w:sz w:val="24"/>
          <w:szCs w:val="24"/>
          <w:lang w:eastAsia="en-US"/>
        </w:rPr>
        <w:t>4.</w:t>
      </w:r>
      <w:r w:rsidRPr="00A428FE">
        <w:rPr>
          <w:rFonts w:eastAsiaTheme="minorHAnsi"/>
          <w:sz w:val="24"/>
          <w:szCs w:val="24"/>
          <w:lang w:eastAsia="en-US"/>
        </w:rPr>
        <w:tab/>
        <w:t>Durante</w:t>
      </w:r>
      <w:proofErr w:type="gramEnd"/>
      <w:r w:rsidRPr="00A428FE">
        <w:rPr>
          <w:rFonts w:eastAsiaTheme="minorHAnsi"/>
          <w:sz w:val="24"/>
          <w:szCs w:val="24"/>
          <w:lang w:eastAsia="en-US"/>
        </w:rPr>
        <w:t xml:space="preserve"> a inspeção </w:t>
      </w:r>
      <w:r w:rsidRPr="00A428FE">
        <w:rPr>
          <w:rFonts w:eastAsiaTheme="minorHAnsi"/>
          <w:i/>
          <w:sz w:val="24"/>
          <w:szCs w:val="24"/>
          <w:lang w:eastAsia="en-US"/>
        </w:rPr>
        <w:t>in loco</w:t>
      </w:r>
      <w:r w:rsidRPr="00A428FE">
        <w:rPr>
          <w:rFonts w:eastAsiaTheme="minorHAnsi"/>
          <w:sz w:val="24"/>
          <w:szCs w:val="24"/>
          <w:lang w:eastAsia="en-US"/>
        </w:rPr>
        <w:t xml:space="preserve"> realizada em 29/10/2007, foi verificado que a execução física do objeto pactuado equivaleria a 24,37% da obra programada. Do total de 80% dos recursos financeiros já liberados, foi apurado que o percentual de aproveitamento do objeto pactuado seria de 0%.</w:t>
      </w:r>
    </w:p>
    <w:p w:rsidR="00C12E6E" w:rsidRPr="00A428FE" w:rsidRDefault="00C12E6E" w:rsidP="00C12E6E">
      <w:pPr>
        <w:tabs>
          <w:tab w:val="left" w:pos="1134"/>
        </w:tabs>
        <w:spacing w:before="12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428FE">
        <w:rPr>
          <w:rFonts w:eastAsiaTheme="minorHAnsi"/>
          <w:sz w:val="24"/>
          <w:szCs w:val="24"/>
          <w:lang w:eastAsia="en-US"/>
        </w:rPr>
        <w:t>5.</w:t>
      </w:r>
      <w:r w:rsidRPr="00A428FE">
        <w:rPr>
          <w:rFonts w:eastAsiaTheme="minorHAnsi"/>
          <w:sz w:val="24"/>
          <w:szCs w:val="24"/>
          <w:lang w:eastAsia="en-US"/>
        </w:rPr>
        <w:tab/>
        <w:t xml:space="preserve">O convênio foi firmado na gestão (2005-2008) do Sr. </w:t>
      </w:r>
      <w:proofErr w:type="spellStart"/>
      <w:r w:rsidRPr="00A428FE">
        <w:rPr>
          <w:rFonts w:eastAsiaTheme="minorHAnsi"/>
          <w:sz w:val="24"/>
          <w:szCs w:val="24"/>
          <w:lang w:eastAsia="en-US"/>
        </w:rPr>
        <w:t>Edvan</w:t>
      </w:r>
      <w:proofErr w:type="spellEnd"/>
      <w:r w:rsidRPr="00A428FE">
        <w:rPr>
          <w:rFonts w:eastAsiaTheme="minorHAnsi"/>
          <w:sz w:val="24"/>
          <w:szCs w:val="24"/>
          <w:lang w:eastAsia="en-US"/>
        </w:rPr>
        <w:t xml:space="preserve"> Pereira de Oliveira Júnior, CPF 033.599.704-03, mas sua vigência se expirou apenas em 17/10/2009 (cf. doc. </w:t>
      </w:r>
      <w:r>
        <w:rPr>
          <w:rFonts w:eastAsiaTheme="minorHAnsi"/>
          <w:sz w:val="24"/>
          <w:szCs w:val="24"/>
          <w:lang w:eastAsia="en-US"/>
        </w:rPr>
        <w:t xml:space="preserve">de peça 1, </w:t>
      </w:r>
      <w:r w:rsidRPr="00A428FE">
        <w:rPr>
          <w:rFonts w:eastAsiaTheme="minorHAnsi"/>
          <w:sz w:val="24"/>
          <w:szCs w:val="24"/>
          <w:lang w:eastAsia="en-US"/>
        </w:rPr>
        <w:t xml:space="preserve">p. 300), na gestão do prefeito sucessor, Sr. Eugenio </w:t>
      </w:r>
      <w:proofErr w:type="spellStart"/>
      <w:r w:rsidRPr="00A428FE">
        <w:rPr>
          <w:rFonts w:eastAsiaTheme="minorHAnsi"/>
          <w:sz w:val="24"/>
          <w:szCs w:val="24"/>
          <w:lang w:eastAsia="en-US"/>
        </w:rPr>
        <w:t>Pacelli</w:t>
      </w:r>
      <w:proofErr w:type="spellEnd"/>
      <w:r w:rsidRPr="00A428FE">
        <w:rPr>
          <w:rFonts w:eastAsiaTheme="minorHAnsi"/>
          <w:sz w:val="24"/>
          <w:szCs w:val="24"/>
          <w:lang w:eastAsia="en-US"/>
        </w:rPr>
        <w:t xml:space="preserve"> de Lima (2009-2012), o qual apresentou a prestação de contas composta dos documentos de peça 1, p. 244-290.</w:t>
      </w:r>
    </w:p>
    <w:p w:rsidR="00C12E6E" w:rsidRPr="00A428FE" w:rsidRDefault="00C12E6E" w:rsidP="00C12E6E">
      <w:pPr>
        <w:tabs>
          <w:tab w:val="left" w:pos="1134"/>
        </w:tabs>
        <w:spacing w:before="12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428FE">
        <w:rPr>
          <w:rFonts w:eastAsiaTheme="minorHAnsi"/>
          <w:sz w:val="24"/>
          <w:szCs w:val="24"/>
          <w:lang w:eastAsia="en-US"/>
        </w:rPr>
        <w:t>6.</w:t>
      </w:r>
      <w:r w:rsidRPr="00A428FE">
        <w:rPr>
          <w:rFonts w:eastAsiaTheme="minorHAnsi"/>
          <w:sz w:val="24"/>
          <w:szCs w:val="24"/>
          <w:lang w:eastAsia="en-US"/>
        </w:rPr>
        <w:tab/>
        <w:t>No entanto</w:t>
      </w:r>
      <w:proofErr w:type="gramEnd"/>
      <w:r w:rsidRPr="00A428FE">
        <w:rPr>
          <w:rFonts w:eastAsiaTheme="minorHAnsi"/>
          <w:sz w:val="24"/>
          <w:szCs w:val="24"/>
          <w:lang w:eastAsia="en-US"/>
        </w:rPr>
        <w:t>, conforme documento de peça 1, p. 354-364, a Sra. Antônia Linhares Fernandes (CPF 146.524.124-87) assumiu o cargo de prefeita municipal do município de Condado em 1/1/2007, tendo sua gestão se estendido até 22/5/2007, conforme documento de peça 1, p. 364.</w:t>
      </w:r>
    </w:p>
    <w:p w:rsidR="00C12E6E" w:rsidRPr="00A428FE" w:rsidRDefault="00C12E6E" w:rsidP="00C12E6E">
      <w:pPr>
        <w:tabs>
          <w:tab w:val="left" w:pos="1134"/>
        </w:tabs>
        <w:spacing w:before="12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A428FE">
        <w:rPr>
          <w:rFonts w:eastAsiaTheme="minorHAnsi"/>
          <w:sz w:val="24"/>
          <w:szCs w:val="24"/>
          <w:lang w:eastAsia="en-US"/>
        </w:rPr>
        <w:lastRenderedPageBreak/>
        <w:t>7.</w:t>
      </w:r>
      <w:r w:rsidRPr="00A428FE">
        <w:rPr>
          <w:rFonts w:eastAsiaTheme="minorHAnsi"/>
          <w:sz w:val="24"/>
          <w:szCs w:val="24"/>
          <w:lang w:eastAsia="en-US"/>
        </w:rPr>
        <w:tab/>
        <w:t>Após</w:t>
      </w:r>
      <w:proofErr w:type="gramEnd"/>
      <w:r w:rsidRPr="00A428FE">
        <w:rPr>
          <w:rFonts w:eastAsiaTheme="minorHAnsi"/>
          <w:sz w:val="24"/>
          <w:szCs w:val="24"/>
          <w:lang w:eastAsia="en-US"/>
        </w:rPr>
        <w:t xml:space="preserve"> analisada a prestação de contas apresentada pelo Sr. Eugenio </w:t>
      </w:r>
      <w:proofErr w:type="spellStart"/>
      <w:r w:rsidRPr="00A428FE">
        <w:rPr>
          <w:rFonts w:eastAsiaTheme="minorHAnsi"/>
          <w:sz w:val="24"/>
          <w:szCs w:val="24"/>
          <w:lang w:eastAsia="en-US"/>
        </w:rPr>
        <w:t>Pacelli</w:t>
      </w:r>
      <w:proofErr w:type="spellEnd"/>
      <w:r w:rsidRPr="00A428FE">
        <w:rPr>
          <w:rFonts w:eastAsiaTheme="minorHAnsi"/>
          <w:sz w:val="24"/>
          <w:szCs w:val="24"/>
          <w:lang w:eastAsia="en-US"/>
        </w:rPr>
        <w:t xml:space="preserve"> de Lima (CPF 189.294.784-68), o concedente emitiu o parecer financeiro 89/2010 (peça 1, p. 306), concluindo pela não aprovação da prestação de contas apresentada.</w:t>
      </w:r>
    </w:p>
    <w:p w:rsidR="00C12E6E" w:rsidRDefault="00C12E6E" w:rsidP="00C12E6E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</w:t>
      </w:r>
      <w:r>
        <w:rPr>
          <w:sz w:val="24"/>
          <w:szCs w:val="24"/>
        </w:rPr>
        <w:tab/>
        <w:t>Instruídos</w:t>
      </w:r>
      <w:proofErr w:type="gramEnd"/>
      <w:r>
        <w:rPr>
          <w:sz w:val="24"/>
          <w:szCs w:val="24"/>
        </w:rPr>
        <w:t xml:space="preserve"> os autos no âmbito desta Secex (peça 12), propôs-se conclusivamente a desconsideração da personalidade jurídica da empresa S.J.L Construções e Serviços Ltda., para responsabilizar o sócio de fato, Sr. José Roberto Marcelino Pereira, pelo débito imputado, solidariamente com a ex-prefeita municipal, Sra. </w:t>
      </w:r>
      <w:proofErr w:type="spellStart"/>
      <w:r>
        <w:rPr>
          <w:sz w:val="24"/>
          <w:szCs w:val="24"/>
        </w:rPr>
        <w:t>Antonia</w:t>
      </w:r>
      <w:proofErr w:type="spellEnd"/>
      <w:r>
        <w:rPr>
          <w:sz w:val="24"/>
          <w:szCs w:val="24"/>
        </w:rPr>
        <w:t xml:space="preserve"> Linhares Fernandes, e a citação solidária dos mesmos.</w:t>
      </w:r>
    </w:p>
    <w:p w:rsidR="00C12E6E" w:rsidRPr="00D84F08" w:rsidRDefault="00C12E6E" w:rsidP="00C12E6E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9.</w:t>
      </w:r>
      <w:r>
        <w:rPr>
          <w:sz w:val="24"/>
          <w:szCs w:val="24"/>
        </w:rPr>
        <w:tab/>
        <w:t>Submetidos</w:t>
      </w:r>
      <w:proofErr w:type="gramEnd"/>
      <w:r>
        <w:rPr>
          <w:sz w:val="24"/>
          <w:szCs w:val="24"/>
        </w:rPr>
        <w:t xml:space="preserve"> os autos à consideração do MP/TCU, o </w:t>
      </w:r>
      <w:proofErr w:type="spellStart"/>
      <w:r>
        <w:rPr>
          <w:sz w:val="24"/>
          <w:szCs w:val="24"/>
        </w:rPr>
        <w:t>Exmo</w:t>
      </w:r>
      <w:proofErr w:type="spellEnd"/>
      <w:r>
        <w:rPr>
          <w:sz w:val="24"/>
          <w:szCs w:val="24"/>
        </w:rPr>
        <w:t xml:space="preserve"> Sr. Procurador Sérgio Ricardo Costa Caribé emitiu Parecer (peça 14), no qual concordou parcialmente com a proposição de mérito desta Secex, alvitrando, no entanto, que fossem responsabilizados solidariamente também pelo débito desta TCE os Srs.  </w:t>
      </w:r>
      <w:proofErr w:type="spellStart"/>
      <w:r>
        <w:rPr>
          <w:sz w:val="24"/>
          <w:szCs w:val="24"/>
        </w:rPr>
        <w:t>Edvan</w:t>
      </w:r>
      <w:proofErr w:type="spellEnd"/>
      <w:r>
        <w:rPr>
          <w:sz w:val="24"/>
          <w:szCs w:val="24"/>
        </w:rPr>
        <w:t xml:space="preserve"> Pereira de Oliveira Júnior, José </w:t>
      </w:r>
      <w:proofErr w:type="spellStart"/>
      <w:r>
        <w:rPr>
          <w:sz w:val="24"/>
          <w:szCs w:val="24"/>
        </w:rPr>
        <w:t>Altemir</w:t>
      </w:r>
      <w:proofErr w:type="spellEnd"/>
      <w:r>
        <w:rPr>
          <w:sz w:val="24"/>
          <w:szCs w:val="24"/>
        </w:rPr>
        <w:t xml:space="preserve"> Dantas, Francisco Canindé da Silva Dantas e Saulo José de Lima, bem como a sociedade S.J.L Construções e Serviços Ltda., cuja proposta foi acolhida pelo Relator do feito.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8612EA">
        <w:rPr>
          <w:sz w:val="24"/>
          <w:szCs w:val="24"/>
        </w:rPr>
        <w:t>10.</w:t>
      </w:r>
      <w:r w:rsidRPr="008612EA">
        <w:rPr>
          <w:sz w:val="24"/>
          <w:szCs w:val="24"/>
        </w:rPr>
        <w:tab/>
      </w:r>
      <w:proofErr w:type="gramStart"/>
      <w:r w:rsidRPr="008612EA">
        <w:rPr>
          <w:sz w:val="24"/>
          <w:szCs w:val="24"/>
        </w:rPr>
        <w:t xml:space="preserve"> Em</w:t>
      </w:r>
      <w:proofErr w:type="gramEnd"/>
      <w:r w:rsidRPr="008612EA">
        <w:rPr>
          <w:sz w:val="24"/>
          <w:szCs w:val="24"/>
        </w:rPr>
        <w:t xml:space="preserve"> cumprimento ao Despacho do Exmo. Sr. Ministro-Relator José </w:t>
      </w:r>
      <w:proofErr w:type="spellStart"/>
      <w:r w:rsidRPr="008612EA">
        <w:rPr>
          <w:sz w:val="24"/>
          <w:szCs w:val="24"/>
        </w:rPr>
        <w:t>Múcio</w:t>
      </w:r>
      <w:proofErr w:type="spellEnd"/>
      <w:r w:rsidRPr="008612EA">
        <w:rPr>
          <w:sz w:val="24"/>
          <w:szCs w:val="24"/>
        </w:rPr>
        <w:t xml:space="preserve"> Monteiro (peça 15), </w:t>
      </w:r>
      <w:r>
        <w:rPr>
          <w:sz w:val="24"/>
          <w:szCs w:val="24"/>
        </w:rPr>
        <w:t>foi promovida</w:t>
      </w:r>
      <w:r w:rsidRPr="00253B02">
        <w:rPr>
          <w:sz w:val="24"/>
          <w:szCs w:val="24"/>
        </w:rPr>
        <w:t xml:space="preserve"> a </w:t>
      </w:r>
      <w:r>
        <w:rPr>
          <w:sz w:val="24"/>
          <w:szCs w:val="24"/>
        </w:rPr>
        <w:t>citação d</w:t>
      </w:r>
      <w:r w:rsidRPr="00253B02">
        <w:rPr>
          <w:sz w:val="24"/>
          <w:szCs w:val="24"/>
        </w:rPr>
        <w:t>o</w:t>
      </w:r>
      <w:r>
        <w:rPr>
          <w:sz w:val="24"/>
          <w:szCs w:val="24"/>
        </w:rPr>
        <w:t xml:space="preserve">s Srs. </w:t>
      </w:r>
      <w:proofErr w:type="spellStart"/>
      <w:r>
        <w:rPr>
          <w:sz w:val="24"/>
          <w:szCs w:val="24"/>
        </w:rPr>
        <w:t>Edvan</w:t>
      </w:r>
      <w:proofErr w:type="spellEnd"/>
      <w:r>
        <w:rPr>
          <w:sz w:val="24"/>
          <w:szCs w:val="24"/>
        </w:rPr>
        <w:t xml:space="preserve"> Pereira de Oliveira Júnior, José Roberto Marcelino Pereira, Francisco Canindé da Silva Dantas, José </w:t>
      </w:r>
      <w:proofErr w:type="spellStart"/>
      <w:r>
        <w:rPr>
          <w:sz w:val="24"/>
          <w:szCs w:val="24"/>
        </w:rPr>
        <w:t>Altemir</w:t>
      </w:r>
      <w:proofErr w:type="spellEnd"/>
      <w:r>
        <w:rPr>
          <w:sz w:val="24"/>
          <w:szCs w:val="24"/>
        </w:rPr>
        <w:t xml:space="preserve"> Dantas, Saulo José de Lima, da Sra. </w:t>
      </w:r>
      <w:proofErr w:type="spellStart"/>
      <w:r>
        <w:rPr>
          <w:sz w:val="24"/>
          <w:szCs w:val="24"/>
        </w:rPr>
        <w:t>Antonia</w:t>
      </w:r>
      <w:proofErr w:type="spellEnd"/>
      <w:r>
        <w:rPr>
          <w:sz w:val="24"/>
          <w:szCs w:val="24"/>
        </w:rPr>
        <w:t xml:space="preserve"> Linhares Fernandes e da empresa S.J.L Construções e Serviços Ltda., mediante os Ofícios </w:t>
      </w:r>
      <w:r w:rsidRPr="00DC6790">
        <w:rPr>
          <w:sz w:val="24"/>
          <w:szCs w:val="24"/>
        </w:rPr>
        <w:t xml:space="preserve">1743/2014, 1744/2014, 1746/2014, e 1748/2014 </w:t>
      </w:r>
      <w:r>
        <w:rPr>
          <w:sz w:val="24"/>
          <w:szCs w:val="24"/>
        </w:rPr>
        <w:t xml:space="preserve">(peças 22-23, 25 e 27), e Edital 0047/2015 (peça 49). </w:t>
      </w:r>
    </w:p>
    <w:p w:rsidR="00C12E6E" w:rsidRPr="00723C2C" w:rsidRDefault="00C12E6E" w:rsidP="00C12E6E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723C2C">
        <w:rPr>
          <w:b/>
          <w:sz w:val="24"/>
          <w:szCs w:val="24"/>
        </w:rPr>
        <w:t xml:space="preserve">EXAME </w:t>
      </w:r>
      <w:r>
        <w:rPr>
          <w:b/>
          <w:sz w:val="24"/>
          <w:szCs w:val="24"/>
        </w:rPr>
        <w:t>TÉCNICO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 w:rsidRPr="00755A29">
        <w:rPr>
          <w:sz w:val="24"/>
          <w:szCs w:val="24"/>
        </w:rPr>
        <w:t>11.</w:t>
      </w:r>
      <w:r w:rsidRPr="00051021">
        <w:rPr>
          <w:sz w:val="24"/>
          <w:szCs w:val="24"/>
        </w:rPr>
        <w:tab/>
      </w:r>
      <w:r>
        <w:rPr>
          <w:sz w:val="24"/>
          <w:szCs w:val="24"/>
        </w:rPr>
        <w:t>Apesar de o</w:t>
      </w:r>
      <w:r w:rsidRPr="00253B02">
        <w:rPr>
          <w:sz w:val="24"/>
          <w:szCs w:val="24"/>
        </w:rPr>
        <w:t xml:space="preserve">s </w:t>
      </w:r>
      <w:r>
        <w:rPr>
          <w:sz w:val="24"/>
          <w:szCs w:val="24"/>
        </w:rPr>
        <w:t>responsáveis terem tomado</w:t>
      </w:r>
      <w:r w:rsidRPr="00253B02">
        <w:rPr>
          <w:sz w:val="24"/>
          <w:szCs w:val="24"/>
        </w:rPr>
        <w:t xml:space="preserve"> ciência dos </w:t>
      </w:r>
      <w:r>
        <w:rPr>
          <w:sz w:val="24"/>
          <w:szCs w:val="24"/>
        </w:rPr>
        <w:t>expedientes que lhes foram encaminhados</w:t>
      </w:r>
      <w:r w:rsidRPr="00253B02">
        <w:rPr>
          <w:sz w:val="24"/>
          <w:szCs w:val="24"/>
        </w:rPr>
        <w:t>,</w:t>
      </w:r>
      <w:r w:rsidRPr="00051021">
        <w:rPr>
          <w:sz w:val="24"/>
          <w:szCs w:val="24"/>
        </w:rPr>
        <w:t xml:space="preserve"> conforme </w:t>
      </w:r>
      <w:r>
        <w:rPr>
          <w:sz w:val="24"/>
          <w:szCs w:val="24"/>
        </w:rPr>
        <w:t>atestam os avisos de recebimento (AR) que compõem as peças 29-30, 35-36,</w:t>
      </w:r>
      <w:r w:rsidRPr="00051021">
        <w:rPr>
          <w:sz w:val="24"/>
          <w:szCs w:val="24"/>
        </w:rPr>
        <w:t xml:space="preserve"> </w:t>
      </w:r>
      <w:r>
        <w:rPr>
          <w:sz w:val="24"/>
          <w:szCs w:val="24"/>
        </w:rPr>
        <w:t>não atenderam a citação e não se manifestaram</w:t>
      </w:r>
      <w:r w:rsidRPr="00051021">
        <w:rPr>
          <w:sz w:val="24"/>
          <w:szCs w:val="24"/>
        </w:rPr>
        <w:t xml:space="preserve"> quanto às irregularidades verificadas</w:t>
      </w:r>
      <w:r>
        <w:rPr>
          <w:sz w:val="24"/>
          <w:szCs w:val="24"/>
        </w:rPr>
        <w:t>.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C96FAE">
        <w:rPr>
          <w:sz w:val="24"/>
          <w:szCs w:val="24"/>
        </w:rPr>
        <w:t>Os Srs</w:t>
      </w:r>
      <w:r>
        <w:rPr>
          <w:sz w:val="24"/>
          <w:szCs w:val="24"/>
        </w:rPr>
        <w:t>.</w:t>
      </w:r>
      <w:r w:rsidRPr="006C0C2B">
        <w:rPr>
          <w:sz w:val="24"/>
          <w:szCs w:val="24"/>
        </w:rPr>
        <w:t xml:space="preserve"> </w:t>
      </w:r>
      <w:r>
        <w:rPr>
          <w:sz w:val="24"/>
          <w:szCs w:val="24"/>
        </w:rPr>
        <w:t>José Roberto Marcelino Pereira</w:t>
      </w:r>
      <w:r w:rsidRPr="00C96FAE">
        <w:rPr>
          <w:sz w:val="24"/>
          <w:szCs w:val="24"/>
        </w:rPr>
        <w:t xml:space="preserve">, </w:t>
      </w:r>
      <w:r>
        <w:rPr>
          <w:sz w:val="24"/>
          <w:szCs w:val="24"/>
        </w:rPr>
        <w:t>Francisco Canindé da Silva Dantas</w:t>
      </w:r>
      <w:r w:rsidRPr="00C96F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a empresa S.J.L Construções e Serviços Ltda., </w:t>
      </w:r>
      <w:r w:rsidRPr="00C96FAE">
        <w:rPr>
          <w:sz w:val="24"/>
          <w:szCs w:val="24"/>
        </w:rPr>
        <w:t xml:space="preserve">citados por via </w:t>
      </w:r>
      <w:proofErr w:type="spellStart"/>
      <w:r w:rsidRPr="00C96FAE">
        <w:rPr>
          <w:sz w:val="24"/>
          <w:szCs w:val="24"/>
        </w:rPr>
        <w:t>editalícia</w:t>
      </w:r>
      <w:proofErr w:type="spellEnd"/>
      <w:r w:rsidRPr="00C96FAE">
        <w:rPr>
          <w:sz w:val="24"/>
          <w:szCs w:val="24"/>
        </w:rPr>
        <w:t xml:space="preserve">, </w:t>
      </w:r>
      <w:r>
        <w:rPr>
          <w:sz w:val="24"/>
          <w:szCs w:val="24"/>
        </w:rPr>
        <w:t>não atende</w:t>
      </w:r>
      <w:r w:rsidRPr="00C96FAE">
        <w:rPr>
          <w:sz w:val="24"/>
          <w:szCs w:val="24"/>
        </w:rPr>
        <w:t>ram a citação e não se manifestaram quanto às irregularidades verificadas. Destaca-se que antes da citação por edital foram adotadas providências que esgotaram as tentativas de localização do responsável</w:t>
      </w:r>
      <w:r>
        <w:rPr>
          <w:sz w:val="24"/>
          <w:szCs w:val="24"/>
        </w:rPr>
        <w:t>, conforme consta do Despacho à peça 48</w:t>
      </w:r>
      <w:r w:rsidRPr="00C96FAE">
        <w:rPr>
          <w:sz w:val="24"/>
          <w:szCs w:val="24"/>
        </w:rPr>
        <w:t>.</w:t>
      </w:r>
      <w:r>
        <w:rPr>
          <w:i/>
          <w:color w:val="0070C0"/>
          <w:sz w:val="24"/>
          <w:szCs w:val="24"/>
        </w:rPr>
        <w:t xml:space="preserve"> 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sz w:val="24"/>
          <w:szCs w:val="24"/>
        </w:rPr>
      </w:pPr>
      <w:proofErr w:type="gramStart"/>
      <w:r w:rsidRPr="00EB1D87">
        <w:rPr>
          <w:sz w:val="24"/>
          <w:szCs w:val="24"/>
        </w:rPr>
        <w:t>13.</w:t>
      </w:r>
      <w:r w:rsidRPr="00253B02">
        <w:rPr>
          <w:sz w:val="24"/>
          <w:szCs w:val="24"/>
        </w:rPr>
        <w:tab/>
        <w:t>Transcorrido</w:t>
      </w:r>
      <w:proofErr w:type="gramEnd"/>
      <w:r w:rsidRPr="00253B02">
        <w:rPr>
          <w:sz w:val="24"/>
          <w:szCs w:val="24"/>
        </w:rPr>
        <w:t xml:space="preserve"> o prazo regimental fixado e </w:t>
      </w:r>
      <w:r>
        <w:rPr>
          <w:sz w:val="24"/>
          <w:szCs w:val="24"/>
        </w:rPr>
        <w:t xml:space="preserve">mantendo-se inertes </w:t>
      </w:r>
      <w:r w:rsidRPr="00253B02">
        <w:rPr>
          <w:sz w:val="24"/>
          <w:szCs w:val="24"/>
        </w:rPr>
        <w:t xml:space="preserve">os aludidos responsáveis, </w:t>
      </w:r>
      <w:r>
        <w:rPr>
          <w:sz w:val="24"/>
          <w:szCs w:val="24"/>
        </w:rPr>
        <w:t>impõe-se que sejam considerados revéis</w:t>
      </w:r>
      <w:r w:rsidRPr="00253B02">
        <w:rPr>
          <w:sz w:val="24"/>
          <w:szCs w:val="24"/>
        </w:rPr>
        <w:t>, dando-se prosseguimento ao processo, de acordo com o art.</w:t>
      </w:r>
      <w:r>
        <w:rPr>
          <w:sz w:val="24"/>
          <w:szCs w:val="24"/>
        </w:rPr>
        <w:t xml:space="preserve"> </w:t>
      </w:r>
      <w:r w:rsidRPr="00253B02">
        <w:rPr>
          <w:sz w:val="24"/>
          <w:szCs w:val="24"/>
        </w:rPr>
        <w:t>12, § 3º, da Lei 8.443/1992.</w:t>
      </w:r>
    </w:p>
    <w:p w:rsidR="00C12E6E" w:rsidRPr="00676FE2" w:rsidRDefault="00C12E6E" w:rsidP="00C12E6E">
      <w:pPr>
        <w:pStyle w:val="Corpodetexto"/>
        <w:tabs>
          <w:tab w:val="left" w:pos="1134"/>
        </w:tabs>
        <w:spacing w:before="120"/>
        <w:rPr>
          <w:b w:val="0"/>
          <w:sz w:val="24"/>
          <w:szCs w:val="24"/>
        </w:rPr>
      </w:pPr>
      <w:r w:rsidRPr="00676FE2">
        <w:rPr>
          <w:b w:val="0"/>
          <w:sz w:val="24"/>
          <w:szCs w:val="24"/>
        </w:rPr>
        <w:t>14.</w:t>
      </w:r>
      <w:r w:rsidRPr="00676FE2">
        <w:rPr>
          <w:b w:val="0"/>
          <w:sz w:val="24"/>
          <w:szCs w:val="24"/>
        </w:rPr>
        <w:tab/>
        <w:t>O efeito da revelia não se restringe ao prosseguimento dos atos processuais, como erroneamente se pode inferir do disposto no art. 12, § 3º, da Lei 8.443/1992, vez que esse seguimento constitui decorrência lógica na estipulação legal dos prazos para que as partes produzam os atos de seu interesse. O próprio dispositivo legal citado vai mais além ao dizer que o seguimento dos atos, uma vez configurada a revelia, se dará para todos os efeitos, inclusive para o julgamento pela irregularidade das contas, como se pode facilmente deduzir.</w:t>
      </w:r>
    </w:p>
    <w:p w:rsidR="00C12E6E" w:rsidRPr="00676FE2" w:rsidRDefault="00C12E6E" w:rsidP="00C12E6E">
      <w:pPr>
        <w:pStyle w:val="Corpodetexto"/>
        <w:tabs>
          <w:tab w:val="left" w:pos="1134"/>
        </w:tabs>
        <w:spacing w:before="120"/>
        <w:rPr>
          <w:b w:val="0"/>
          <w:sz w:val="24"/>
          <w:szCs w:val="24"/>
        </w:rPr>
      </w:pPr>
      <w:r w:rsidRPr="00676FE2">
        <w:rPr>
          <w:b w:val="0"/>
          <w:sz w:val="24"/>
          <w:szCs w:val="24"/>
        </w:rPr>
        <w:t>15.</w:t>
      </w:r>
      <w:r w:rsidRPr="00676FE2">
        <w:rPr>
          <w:b w:val="0"/>
          <w:sz w:val="24"/>
          <w:szCs w:val="24"/>
        </w:rPr>
        <w:tab/>
        <w:t xml:space="preserve">O comando legal não vai ao extremo de dizer que, com a revelia, presumir-se-ão verdadeiras todas as imputações levantadas no processo contra os responsáveis jurisdicionados a esta Corte, à semelhança do que ocorre no processo civil, onde </w:t>
      </w:r>
      <w:proofErr w:type="spellStart"/>
      <w:r w:rsidRPr="00676FE2">
        <w:rPr>
          <w:b w:val="0"/>
          <w:sz w:val="24"/>
          <w:szCs w:val="24"/>
        </w:rPr>
        <w:t>a</w:t>
      </w:r>
      <w:proofErr w:type="spellEnd"/>
      <w:r w:rsidRPr="00676FE2">
        <w:rPr>
          <w:b w:val="0"/>
          <w:sz w:val="24"/>
          <w:szCs w:val="24"/>
        </w:rPr>
        <w:t xml:space="preserve"> revelia do réu opera a presunção da verdade dos fatos narrados pelo autor. Certamente pela maior proximidade com o direito penal, o legislador orgânico, ao não fazer menção expressa a qualquer tipo de presunção, não deixou espaço para o incondicionalismo na avaliação da responsabilidade do agente decorrente de sua eventual revelia. Para tanto, não se pode prescindir da prova existente no processo ou para ele carreada.</w:t>
      </w:r>
    </w:p>
    <w:p w:rsidR="00C12E6E" w:rsidRPr="00676FE2" w:rsidRDefault="00C12E6E" w:rsidP="00C12E6E">
      <w:pPr>
        <w:pStyle w:val="Corpodetexto"/>
        <w:tabs>
          <w:tab w:val="left" w:pos="1134"/>
        </w:tabs>
        <w:spacing w:before="120"/>
        <w:rPr>
          <w:b w:val="0"/>
          <w:sz w:val="24"/>
          <w:szCs w:val="24"/>
        </w:rPr>
      </w:pPr>
      <w:r w:rsidRPr="00676FE2">
        <w:rPr>
          <w:b w:val="0"/>
          <w:sz w:val="24"/>
          <w:szCs w:val="24"/>
        </w:rPr>
        <w:t>16.</w:t>
      </w:r>
      <w:r w:rsidRPr="00676FE2">
        <w:rPr>
          <w:b w:val="0"/>
          <w:sz w:val="24"/>
          <w:szCs w:val="24"/>
        </w:rPr>
        <w:tab/>
        <w:t xml:space="preserve">Ao não apresentar sua defesa, os responsáveis deixaram de produzir prova da regular aplicação dos recursos sob sua responsabilidade, em afronta as normas que impõem aos gestores públicos a obrigação legal de, sempre que demandados pelos órgãos de controle, apresentar os documentos que demonstrem a correta utilização das verbas públicas, a exemplo do contido no art. 93 </w:t>
      </w:r>
      <w:r w:rsidRPr="00676FE2">
        <w:rPr>
          <w:b w:val="0"/>
          <w:sz w:val="24"/>
          <w:szCs w:val="24"/>
        </w:rPr>
        <w:lastRenderedPageBreak/>
        <w:t>do Decreto-Lei 200/67: “Quem quer que utilize dinheiros públicos terá de justificar seu bom e regular emprego na conformidade das leis, regulamentos e normas emanadas das autoridades administrativas competentes.”</w:t>
      </w:r>
    </w:p>
    <w:p w:rsidR="00C12E6E" w:rsidRPr="00676FE2" w:rsidRDefault="00C12E6E" w:rsidP="00C12E6E">
      <w:pPr>
        <w:pStyle w:val="Corpodetexto"/>
        <w:tabs>
          <w:tab w:val="left" w:pos="1134"/>
        </w:tabs>
        <w:spacing w:before="120"/>
        <w:rPr>
          <w:b w:val="0"/>
          <w:sz w:val="24"/>
          <w:szCs w:val="24"/>
        </w:rPr>
      </w:pPr>
      <w:proofErr w:type="gramStart"/>
      <w:r w:rsidRPr="00676FE2">
        <w:rPr>
          <w:b w:val="0"/>
          <w:sz w:val="24"/>
          <w:szCs w:val="24"/>
        </w:rPr>
        <w:t>17.</w:t>
      </w:r>
      <w:r w:rsidRPr="00676FE2">
        <w:rPr>
          <w:b w:val="0"/>
          <w:sz w:val="24"/>
          <w:szCs w:val="24"/>
        </w:rPr>
        <w:tab/>
        <w:t>Neste</w:t>
      </w:r>
      <w:proofErr w:type="gramEnd"/>
      <w:r w:rsidRPr="00676FE2">
        <w:rPr>
          <w:b w:val="0"/>
          <w:sz w:val="24"/>
          <w:szCs w:val="24"/>
        </w:rPr>
        <w:t xml:space="preserve"> caso em específico, vale ressaltar que o débito consiste nos seguintes elementos:</w:t>
      </w:r>
    </w:p>
    <w:p w:rsidR="00C12E6E" w:rsidRPr="00676FE2" w:rsidRDefault="00C12E6E" w:rsidP="00C12E6E">
      <w:pPr>
        <w:pStyle w:val="Corpodetexto"/>
        <w:spacing w:before="120"/>
        <w:ind w:left="1134"/>
        <w:rPr>
          <w:sz w:val="22"/>
          <w:szCs w:val="22"/>
        </w:rPr>
      </w:pPr>
      <w:r w:rsidRPr="00676FE2">
        <w:rPr>
          <w:sz w:val="22"/>
          <w:szCs w:val="22"/>
        </w:rPr>
        <w:t xml:space="preserve">II - Irregularidade:  </w:t>
      </w:r>
      <w:r w:rsidRPr="00676FE2">
        <w:rPr>
          <w:b w:val="0"/>
          <w:sz w:val="22"/>
          <w:szCs w:val="22"/>
        </w:rPr>
        <w:t>não comprovação da boa e regular aplicação dos recursos federais do Convênio 1125/2006 (</w:t>
      </w:r>
      <w:proofErr w:type="spellStart"/>
      <w:r w:rsidRPr="00676FE2">
        <w:rPr>
          <w:b w:val="0"/>
          <w:sz w:val="22"/>
          <w:szCs w:val="22"/>
        </w:rPr>
        <w:t>Siafi</w:t>
      </w:r>
      <w:proofErr w:type="spellEnd"/>
      <w:r w:rsidRPr="00676FE2">
        <w:rPr>
          <w:b w:val="0"/>
          <w:sz w:val="22"/>
          <w:szCs w:val="22"/>
        </w:rPr>
        <w:t xml:space="preserve"> 569762), firmado entre a Prefeitura Municipal de Condado-PB e a Fundação Nacional de Saúde, para a construção de melhorias sanitárias domiciliares, uma vez que não resta comprovado o nexo causal entre a execução financeira da despesa e a execução da obra, em razão de a obra não ter sido executada pela beneficiária do pagamento, empresa de fachada.</w:t>
      </w:r>
    </w:p>
    <w:p w:rsidR="00C12E6E" w:rsidRPr="00676FE2" w:rsidRDefault="00C12E6E" w:rsidP="00C12E6E">
      <w:pPr>
        <w:pStyle w:val="Corpodetexto"/>
        <w:spacing w:before="120"/>
        <w:ind w:left="1134"/>
        <w:rPr>
          <w:sz w:val="22"/>
          <w:szCs w:val="22"/>
        </w:rPr>
      </w:pPr>
      <w:r w:rsidRPr="00676FE2">
        <w:rPr>
          <w:sz w:val="22"/>
          <w:szCs w:val="22"/>
        </w:rPr>
        <w:tab/>
        <w:t>III - Condutas: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bCs/>
          <w:sz w:val="22"/>
          <w:szCs w:val="22"/>
        </w:rPr>
      </w:pPr>
      <w:r w:rsidRPr="00676FE2">
        <w:rPr>
          <w:sz w:val="22"/>
          <w:szCs w:val="22"/>
        </w:rPr>
        <w:tab/>
      </w:r>
      <w:r w:rsidRPr="00676FE2">
        <w:rPr>
          <w:b w:val="0"/>
          <w:sz w:val="22"/>
          <w:szCs w:val="22"/>
        </w:rPr>
        <w:t xml:space="preserve">a) </w:t>
      </w:r>
      <w:r w:rsidRPr="00676FE2">
        <w:rPr>
          <w:b w:val="0"/>
          <w:sz w:val="22"/>
          <w:szCs w:val="22"/>
          <w:u w:val="single"/>
        </w:rPr>
        <w:t xml:space="preserve">do ex-Prefeito </w:t>
      </w:r>
      <w:proofErr w:type="spellStart"/>
      <w:r w:rsidRPr="00676FE2">
        <w:rPr>
          <w:b w:val="0"/>
          <w:sz w:val="22"/>
          <w:szCs w:val="22"/>
          <w:u w:val="single"/>
        </w:rPr>
        <w:t>Edvan</w:t>
      </w:r>
      <w:proofErr w:type="spellEnd"/>
      <w:r w:rsidRPr="00676FE2">
        <w:rPr>
          <w:b w:val="0"/>
          <w:sz w:val="22"/>
          <w:szCs w:val="22"/>
        </w:rPr>
        <w:t>: contratação da empresa de fachada S. J. L Construções e Serviços Ltda. (CNPJ 04.966.148/0001-36), por meio de procedimento licitatório fraudulento, para construção das melhorias sanitárias domiciliares objeto do Convênio 1125/2006 (</w:t>
      </w:r>
      <w:proofErr w:type="spellStart"/>
      <w:r w:rsidRPr="00676FE2">
        <w:rPr>
          <w:b w:val="0"/>
          <w:sz w:val="22"/>
          <w:szCs w:val="22"/>
        </w:rPr>
        <w:t>Siafi</w:t>
      </w:r>
      <w:proofErr w:type="spellEnd"/>
      <w:r w:rsidRPr="00676FE2">
        <w:rPr>
          <w:b w:val="0"/>
          <w:sz w:val="22"/>
          <w:szCs w:val="22"/>
        </w:rPr>
        <w:t xml:space="preserve"> 569762), contribuindo, assim, para ausência de nexo causal entre as obras que teriam sido executadas, principalmente, em razão da falta de elementos de comprovação de que existiam empregados vinculados à contratada que trabalharam na obra, e os recursos federais repassados</w:t>
      </w:r>
      <w:r w:rsidRPr="00676FE2">
        <w:rPr>
          <w:b w:val="0"/>
          <w:bCs/>
          <w:sz w:val="22"/>
          <w:szCs w:val="22"/>
        </w:rPr>
        <w:t>.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b w:val="0"/>
          <w:sz w:val="22"/>
          <w:szCs w:val="22"/>
        </w:rPr>
        <w:tab/>
        <w:t xml:space="preserve">b) </w:t>
      </w:r>
      <w:r w:rsidRPr="00676FE2">
        <w:rPr>
          <w:b w:val="0"/>
          <w:sz w:val="22"/>
          <w:szCs w:val="22"/>
          <w:u w:val="single"/>
        </w:rPr>
        <w:t>da ex-Prefeita Antônia Linhares:</w:t>
      </w:r>
      <w:r w:rsidRPr="00676FE2">
        <w:rPr>
          <w:b w:val="0"/>
          <w:sz w:val="22"/>
          <w:szCs w:val="22"/>
        </w:rPr>
        <w:t xml:space="preserve"> efetuar os pagamentos à empresa de fachada S. J. L Construções e Serviços Ltda. (CNPJ 04.966.148/0001-36), que efetivamente não executou as obras objeto do Convênio 1125/2006 (</w:t>
      </w:r>
      <w:proofErr w:type="spellStart"/>
      <w:r w:rsidRPr="00676FE2">
        <w:rPr>
          <w:b w:val="0"/>
          <w:sz w:val="22"/>
          <w:szCs w:val="22"/>
        </w:rPr>
        <w:t>Siafi</w:t>
      </w:r>
      <w:proofErr w:type="spellEnd"/>
      <w:r w:rsidRPr="00676FE2">
        <w:rPr>
          <w:b w:val="0"/>
          <w:sz w:val="22"/>
          <w:szCs w:val="22"/>
        </w:rPr>
        <w:t xml:space="preserve"> 569762), e usar a documentação dessa empresa (notas fiscais, recibos, licitação etc.) para dar aspecto de legalidade à aplicação dos recursos conveniados.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b w:val="0"/>
          <w:sz w:val="22"/>
          <w:szCs w:val="22"/>
        </w:rPr>
        <w:tab/>
        <w:t xml:space="preserve">c) </w:t>
      </w:r>
      <w:r w:rsidRPr="00676FE2">
        <w:rPr>
          <w:b w:val="0"/>
          <w:sz w:val="22"/>
          <w:szCs w:val="22"/>
          <w:u w:val="single"/>
        </w:rPr>
        <w:t xml:space="preserve">da empresa S. J. L. e respectivos sócios (Saulo José, José Roberto, José </w:t>
      </w:r>
      <w:proofErr w:type="spellStart"/>
      <w:r w:rsidRPr="00676FE2">
        <w:rPr>
          <w:b w:val="0"/>
          <w:sz w:val="22"/>
          <w:szCs w:val="22"/>
          <w:u w:val="single"/>
        </w:rPr>
        <w:t>Altemir</w:t>
      </w:r>
      <w:proofErr w:type="spellEnd"/>
      <w:r w:rsidRPr="00676FE2">
        <w:rPr>
          <w:b w:val="0"/>
          <w:sz w:val="22"/>
          <w:szCs w:val="22"/>
          <w:u w:val="single"/>
        </w:rPr>
        <w:t xml:space="preserve"> e Francisco Canindé)</w:t>
      </w:r>
      <w:r w:rsidRPr="00676FE2">
        <w:rPr>
          <w:b w:val="0"/>
          <w:sz w:val="22"/>
          <w:szCs w:val="22"/>
        </w:rPr>
        <w:t>: receber pagamentos feitos com recursos federais, sem ter executado o objeto contratado, já que se trata de empresa de fachada, contratada por processo licitatório fraudulento, que não tem condições físicas (pessoal e maquinário) para realização do objeto. E fornecer documentos para comprovação de despesas fictícias.</w:t>
      </w:r>
    </w:p>
    <w:p w:rsidR="00C12E6E" w:rsidRPr="00676FE2" w:rsidRDefault="00C12E6E" w:rsidP="00C12E6E">
      <w:pPr>
        <w:pStyle w:val="Corpodetexto"/>
        <w:spacing w:before="120"/>
        <w:ind w:left="1134"/>
        <w:rPr>
          <w:sz w:val="22"/>
          <w:szCs w:val="22"/>
        </w:rPr>
      </w:pPr>
      <w:r w:rsidRPr="00676FE2">
        <w:rPr>
          <w:sz w:val="22"/>
          <w:szCs w:val="22"/>
        </w:rPr>
        <w:tab/>
        <w:t>IV - Nexo causal: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sz w:val="22"/>
          <w:szCs w:val="22"/>
        </w:rPr>
        <w:tab/>
      </w:r>
      <w:r w:rsidRPr="00676FE2">
        <w:rPr>
          <w:b w:val="0"/>
          <w:sz w:val="22"/>
          <w:szCs w:val="22"/>
        </w:rPr>
        <w:t xml:space="preserve">a) </w:t>
      </w:r>
      <w:r w:rsidRPr="00676FE2">
        <w:rPr>
          <w:b w:val="0"/>
          <w:sz w:val="22"/>
          <w:szCs w:val="22"/>
          <w:u w:val="single"/>
        </w:rPr>
        <w:t xml:space="preserve">em relação aos ex-Prefeitos </w:t>
      </w:r>
      <w:proofErr w:type="spellStart"/>
      <w:r w:rsidRPr="00676FE2">
        <w:rPr>
          <w:b w:val="0"/>
          <w:sz w:val="22"/>
          <w:szCs w:val="22"/>
          <w:u w:val="single"/>
        </w:rPr>
        <w:t>Edvan</w:t>
      </w:r>
      <w:proofErr w:type="spellEnd"/>
      <w:r w:rsidRPr="00676FE2">
        <w:rPr>
          <w:b w:val="0"/>
          <w:sz w:val="22"/>
          <w:szCs w:val="22"/>
          <w:u w:val="single"/>
        </w:rPr>
        <w:t xml:space="preserve"> e Antônia Linhares</w:t>
      </w:r>
      <w:r w:rsidRPr="00676FE2">
        <w:rPr>
          <w:b w:val="0"/>
          <w:sz w:val="22"/>
          <w:szCs w:val="22"/>
        </w:rPr>
        <w:t xml:space="preserve">: os recursos federais transferidos ao município foram utilizados, irregularmente, para pagamento a uma empresa que não executou o objeto do convênio, acarretando </w:t>
      </w:r>
      <w:proofErr w:type="spellStart"/>
      <w:r w:rsidRPr="00676FE2">
        <w:rPr>
          <w:b w:val="0"/>
          <w:sz w:val="22"/>
          <w:szCs w:val="22"/>
        </w:rPr>
        <w:t>dano</w:t>
      </w:r>
      <w:proofErr w:type="spellEnd"/>
      <w:r w:rsidRPr="00676FE2">
        <w:rPr>
          <w:b w:val="0"/>
          <w:sz w:val="22"/>
          <w:szCs w:val="22"/>
        </w:rPr>
        <w:t xml:space="preserve"> ao Erário Federal. Portanto, o dano em questão é consequência direta das condutas dos </w:t>
      </w:r>
      <w:proofErr w:type="spellStart"/>
      <w:r w:rsidRPr="00676FE2">
        <w:rPr>
          <w:b w:val="0"/>
          <w:sz w:val="22"/>
          <w:szCs w:val="22"/>
        </w:rPr>
        <w:t>ex-gestores</w:t>
      </w:r>
      <w:proofErr w:type="spellEnd"/>
      <w:r w:rsidRPr="00676FE2">
        <w:rPr>
          <w:b w:val="0"/>
          <w:sz w:val="22"/>
          <w:szCs w:val="22"/>
        </w:rPr>
        <w:t>, que contratou (</w:t>
      </w:r>
      <w:proofErr w:type="spellStart"/>
      <w:r w:rsidRPr="00676FE2">
        <w:rPr>
          <w:b w:val="0"/>
          <w:sz w:val="22"/>
          <w:szCs w:val="22"/>
        </w:rPr>
        <w:t>Edvan</w:t>
      </w:r>
      <w:proofErr w:type="spellEnd"/>
      <w:r w:rsidRPr="00676FE2">
        <w:rPr>
          <w:b w:val="0"/>
          <w:sz w:val="22"/>
          <w:szCs w:val="22"/>
        </w:rPr>
        <w:t>) e pagou (Antônia Linhares), respectivamente, a essa empresa de fachada que não executou o objeto do convênio;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b w:val="0"/>
          <w:sz w:val="22"/>
          <w:szCs w:val="22"/>
        </w:rPr>
        <w:tab/>
        <w:t xml:space="preserve">b) </w:t>
      </w:r>
      <w:r w:rsidRPr="00676FE2">
        <w:rPr>
          <w:b w:val="0"/>
          <w:sz w:val="22"/>
          <w:szCs w:val="22"/>
          <w:u w:val="single"/>
        </w:rPr>
        <w:t>em relação à empresa S. J. L.:</w:t>
      </w:r>
      <w:r w:rsidRPr="00676FE2">
        <w:rPr>
          <w:b w:val="0"/>
          <w:sz w:val="22"/>
          <w:szCs w:val="22"/>
        </w:rPr>
        <w:t xml:space="preserve"> com o recebimento dos pagamentos feitos com recursos federais, sem ter executado o objeto conveniado, a empresa de fachada concorreu e se beneficiou do prejuízo suportado pelo Erário;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b w:val="0"/>
          <w:sz w:val="22"/>
          <w:szCs w:val="22"/>
        </w:rPr>
        <w:tab/>
        <w:t xml:space="preserve">c) </w:t>
      </w:r>
      <w:r w:rsidRPr="00676FE2">
        <w:rPr>
          <w:b w:val="0"/>
          <w:sz w:val="22"/>
          <w:szCs w:val="22"/>
          <w:u w:val="single"/>
        </w:rPr>
        <w:t>em relação aos sócios da empresa S. J. L.:</w:t>
      </w:r>
      <w:r w:rsidRPr="00676FE2">
        <w:rPr>
          <w:b w:val="0"/>
          <w:sz w:val="22"/>
          <w:szCs w:val="22"/>
        </w:rPr>
        <w:t xml:space="preserve"> ao usarem empresa de fachada para receber os pagamentos feitos com recursos federais, sem ter executado o objeto conveniado, os responsáveis concorreram e se beneficiaram do prejuízo suportado pelo Erário.</w:t>
      </w:r>
    </w:p>
    <w:p w:rsidR="00C12E6E" w:rsidRPr="00676FE2" w:rsidRDefault="00C12E6E" w:rsidP="00C12E6E">
      <w:pPr>
        <w:pStyle w:val="Corpodetexto"/>
        <w:spacing w:before="120"/>
        <w:ind w:left="1134"/>
        <w:rPr>
          <w:bCs/>
          <w:sz w:val="22"/>
          <w:szCs w:val="22"/>
        </w:rPr>
      </w:pPr>
      <w:r w:rsidRPr="00676FE2">
        <w:rPr>
          <w:bCs/>
          <w:sz w:val="22"/>
          <w:szCs w:val="22"/>
        </w:rPr>
        <w:tab/>
        <w:t xml:space="preserve">V - Evidências: 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sz w:val="22"/>
          <w:szCs w:val="22"/>
        </w:rPr>
        <w:tab/>
      </w:r>
      <w:r w:rsidRPr="00676FE2">
        <w:rPr>
          <w:b w:val="0"/>
          <w:sz w:val="22"/>
          <w:szCs w:val="22"/>
        </w:rPr>
        <w:t>a) a contratada está arrolada entre as empresas de fachada que foram identificadas pela Polícia Federal durante a operação “transparência”, realizada na Paraíba, cuja finalidade era fraudar licitações públicas e desviar os recursos envolvidos nos futuros contratos, consoante provas juntadas às peças 4-10 e 17-18;</w:t>
      </w:r>
    </w:p>
    <w:p w:rsidR="00C12E6E" w:rsidRPr="00676FE2" w:rsidRDefault="00C12E6E" w:rsidP="00C12E6E">
      <w:pPr>
        <w:pStyle w:val="Corpodetexto"/>
        <w:spacing w:before="120" w:after="120"/>
        <w:ind w:left="1134"/>
        <w:rPr>
          <w:b w:val="0"/>
          <w:sz w:val="22"/>
          <w:szCs w:val="22"/>
        </w:rPr>
      </w:pPr>
      <w:r w:rsidRPr="00676FE2">
        <w:rPr>
          <w:b w:val="0"/>
          <w:sz w:val="22"/>
          <w:szCs w:val="22"/>
        </w:rPr>
        <w:tab/>
        <w:t>b) não consta dos bancos de dados públicos o registro de qualquer obra no INSS em nome da S. J. L Construções e Serviços Ltda., além do que, no período em que teria construído a obra, ela não registrou empregados, restando evidente sua incapacidade operacional para cumprir o volume de serviços de engenharia contratados tanto com prefeitura quanto com o Estado da Paraíba (Peça 173), conforme demonstra o quando adiante:</w:t>
      </w:r>
    </w:p>
    <w:tbl>
      <w:tblPr>
        <w:tblStyle w:val="Tabelacomgrade"/>
        <w:tblW w:w="861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2126"/>
        <w:gridCol w:w="3231"/>
      </w:tblGrid>
      <w:tr w:rsidR="00C12E6E" w:rsidRPr="008820D6" w:rsidTr="00676FE2">
        <w:tc>
          <w:tcPr>
            <w:tcW w:w="709" w:type="dxa"/>
          </w:tcPr>
          <w:p w:rsidR="00C12E6E" w:rsidRPr="00676FE2" w:rsidRDefault="00C12E6E" w:rsidP="00676FE2">
            <w:pPr>
              <w:pStyle w:val="Corpodetexto"/>
              <w:rPr>
                <w:sz w:val="22"/>
                <w:szCs w:val="22"/>
              </w:rPr>
            </w:pPr>
            <w:r w:rsidRPr="00676FE2">
              <w:rPr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="00C12E6E" w:rsidRPr="00676FE2" w:rsidRDefault="00C12E6E" w:rsidP="00676FE2">
            <w:pPr>
              <w:pStyle w:val="Corpodetexto"/>
              <w:rPr>
                <w:sz w:val="22"/>
                <w:szCs w:val="22"/>
              </w:rPr>
            </w:pPr>
            <w:r w:rsidRPr="00676FE2">
              <w:rPr>
                <w:sz w:val="22"/>
                <w:szCs w:val="22"/>
              </w:rPr>
              <w:t>Vínculos Emprego</w:t>
            </w:r>
          </w:p>
        </w:tc>
        <w:tc>
          <w:tcPr>
            <w:tcW w:w="1276" w:type="dxa"/>
          </w:tcPr>
          <w:p w:rsidR="00C12E6E" w:rsidRPr="00676FE2" w:rsidRDefault="00C12E6E" w:rsidP="00676FE2">
            <w:pPr>
              <w:pStyle w:val="Corpodetexto"/>
              <w:rPr>
                <w:sz w:val="22"/>
                <w:szCs w:val="22"/>
              </w:rPr>
            </w:pPr>
            <w:r w:rsidRPr="00676FE2">
              <w:rPr>
                <w:sz w:val="22"/>
                <w:szCs w:val="22"/>
              </w:rPr>
              <w:t>CEI Vinculado</w:t>
            </w:r>
          </w:p>
        </w:tc>
        <w:tc>
          <w:tcPr>
            <w:tcW w:w="2126" w:type="dxa"/>
          </w:tcPr>
          <w:p w:rsidR="00C12E6E" w:rsidRPr="00676FE2" w:rsidRDefault="00C12E6E" w:rsidP="00676FE2">
            <w:pPr>
              <w:pStyle w:val="Corpodetexto"/>
              <w:rPr>
                <w:sz w:val="22"/>
                <w:szCs w:val="22"/>
              </w:rPr>
            </w:pPr>
            <w:r w:rsidRPr="00676FE2">
              <w:rPr>
                <w:sz w:val="22"/>
                <w:szCs w:val="22"/>
              </w:rPr>
              <w:t>Faturamento (R$)</w:t>
            </w:r>
          </w:p>
        </w:tc>
        <w:tc>
          <w:tcPr>
            <w:tcW w:w="3231" w:type="dxa"/>
          </w:tcPr>
          <w:p w:rsidR="00C12E6E" w:rsidRPr="00676FE2" w:rsidRDefault="00C12E6E" w:rsidP="00676FE2">
            <w:pPr>
              <w:pStyle w:val="Corpodetexto"/>
              <w:rPr>
                <w:sz w:val="22"/>
                <w:szCs w:val="22"/>
              </w:rPr>
            </w:pPr>
            <w:r w:rsidRPr="00676FE2">
              <w:rPr>
                <w:sz w:val="22"/>
                <w:szCs w:val="22"/>
              </w:rPr>
              <w:t>Obras em Execução *</w:t>
            </w:r>
          </w:p>
        </w:tc>
      </w:tr>
      <w:tr w:rsidR="00C12E6E" w:rsidRPr="00E40188" w:rsidTr="00676FE2">
        <w:tc>
          <w:tcPr>
            <w:tcW w:w="709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2006</w:t>
            </w:r>
          </w:p>
        </w:tc>
        <w:tc>
          <w:tcPr>
            <w:tcW w:w="1276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3.574.840,44</w:t>
            </w:r>
          </w:p>
        </w:tc>
        <w:tc>
          <w:tcPr>
            <w:tcW w:w="3231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Em 29 municípios e 8 no Estado</w:t>
            </w:r>
          </w:p>
        </w:tc>
      </w:tr>
      <w:tr w:rsidR="00C12E6E" w:rsidRPr="00E40188" w:rsidTr="00676FE2">
        <w:tc>
          <w:tcPr>
            <w:tcW w:w="709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lastRenderedPageBreak/>
              <w:t>2007</w:t>
            </w:r>
          </w:p>
        </w:tc>
        <w:tc>
          <w:tcPr>
            <w:tcW w:w="1276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2.075.558,06</w:t>
            </w:r>
          </w:p>
        </w:tc>
        <w:tc>
          <w:tcPr>
            <w:tcW w:w="3231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Em 31 municípios e 5 no Estado</w:t>
            </w:r>
          </w:p>
        </w:tc>
      </w:tr>
      <w:tr w:rsidR="00C12E6E" w:rsidRPr="00E40188" w:rsidTr="00676FE2">
        <w:tc>
          <w:tcPr>
            <w:tcW w:w="709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2008</w:t>
            </w:r>
          </w:p>
        </w:tc>
        <w:tc>
          <w:tcPr>
            <w:tcW w:w="1276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2.080.946,76</w:t>
            </w:r>
          </w:p>
        </w:tc>
        <w:tc>
          <w:tcPr>
            <w:tcW w:w="3231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Em 26 municípios e 7 no Estado</w:t>
            </w:r>
          </w:p>
        </w:tc>
      </w:tr>
    </w:tbl>
    <w:p w:rsidR="00C12E6E" w:rsidRPr="00676FE2" w:rsidRDefault="00C12E6E" w:rsidP="00C12E6E">
      <w:pPr>
        <w:pStyle w:val="Corpodetexto"/>
        <w:spacing w:before="120"/>
        <w:ind w:left="1134"/>
        <w:rPr>
          <w:b w:val="0"/>
        </w:rPr>
      </w:pPr>
      <w:r w:rsidRPr="00676FE2">
        <w:rPr>
          <w:b w:val="0"/>
        </w:rPr>
        <w:tab/>
        <w:t>(*) Fonte: Sagres (Sistema de Acompanhamento da Gestão dos Recursos da Sociedade).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4"/>
          <w:szCs w:val="24"/>
        </w:rPr>
      </w:pPr>
      <w:r w:rsidRPr="00676FE2">
        <w:rPr>
          <w:b w:val="0"/>
        </w:rPr>
        <w:tab/>
        <w:t>c) Declaração (Peça 1, p. 204); extrato do Convite 22/2006 colhido no Sagres (Peça 3, p. 2); termo de convênio (Peça 1, p. 35 e 54).</w:t>
      </w:r>
    </w:p>
    <w:p w:rsidR="00C12E6E" w:rsidRPr="00676FE2" w:rsidRDefault="00C12E6E" w:rsidP="00C12E6E">
      <w:pPr>
        <w:pStyle w:val="Corpodetexto"/>
        <w:spacing w:before="120"/>
        <w:ind w:left="1134"/>
        <w:rPr>
          <w:sz w:val="22"/>
          <w:szCs w:val="22"/>
        </w:rPr>
      </w:pPr>
      <w:r w:rsidRPr="00676FE2">
        <w:rPr>
          <w:sz w:val="22"/>
          <w:szCs w:val="22"/>
        </w:rPr>
        <w:tab/>
        <w:t>VI - Dispositivos violados: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sz w:val="22"/>
          <w:szCs w:val="22"/>
        </w:rPr>
        <w:tab/>
      </w:r>
      <w:r w:rsidRPr="00676FE2">
        <w:rPr>
          <w:b w:val="0"/>
          <w:sz w:val="22"/>
          <w:szCs w:val="22"/>
        </w:rPr>
        <w:t xml:space="preserve">a) </w:t>
      </w:r>
      <w:r w:rsidRPr="00676FE2">
        <w:rPr>
          <w:b w:val="0"/>
          <w:sz w:val="22"/>
          <w:szCs w:val="22"/>
          <w:u w:val="single"/>
        </w:rPr>
        <w:t>pela empresa e respectivos sócios</w:t>
      </w:r>
      <w:r w:rsidRPr="00676FE2">
        <w:rPr>
          <w:b w:val="0"/>
          <w:sz w:val="22"/>
          <w:szCs w:val="22"/>
        </w:rPr>
        <w:t xml:space="preserve">: </w:t>
      </w:r>
      <w:proofErr w:type="spellStart"/>
      <w:r w:rsidRPr="00676FE2">
        <w:rPr>
          <w:b w:val="0"/>
          <w:sz w:val="22"/>
          <w:szCs w:val="22"/>
        </w:rPr>
        <w:t>arts</w:t>
      </w:r>
      <w:proofErr w:type="spellEnd"/>
      <w:r w:rsidRPr="00676FE2">
        <w:rPr>
          <w:b w:val="0"/>
          <w:sz w:val="22"/>
          <w:szCs w:val="22"/>
        </w:rPr>
        <w:t>. 62 e 63 da Lei 4.320, de 17/3/1964; art. 37, inciso XXI, da Constituição Federal/1988; art. 876 da Lei 10.406, de 10/1/2002 (Código Civil);</w:t>
      </w:r>
    </w:p>
    <w:p w:rsidR="00C12E6E" w:rsidRPr="00676FE2" w:rsidRDefault="00C12E6E" w:rsidP="00C12E6E">
      <w:pPr>
        <w:pStyle w:val="Corpodetexto"/>
        <w:spacing w:before="120"/>
        <w:ind w:left="1134"/>
        <w:rPr>
          <w:b w:val="0"/>
          <w:sz w:val="22"/>
          <w:szCs w:val="22"/>
        </w:rPr>
      </w:pPr>
      <w:r w:rsidRPr="00676FE2">
        <w:rPr>
          <w:b w:val="0"/>
          <w:sz w:val="22"/>
          <w:szCs w:val="22"/>
        </w:rPr>
        <w:tab/>
        <w:t xml:space="preserve">b) </w:t>
      </w:r>
      <w:r w:rsidRPr="00676FE2">
        <w:rPr>
          <w:b w:val="0"/>
          <w:sz w:val="22"/>
          <w:szCs w:val="22"/>
          <w:u w:val="single"/>
        </w:rPr>
        <w:t>pelos ex-Prefeitos</w:t>
      </w:r>
      <w:r w:rsidRPr="00676FE2">
        <w:rPr>
          <w:b w:val="0"/>
          <w:sz w:val="22"/>
          <w:szCs w:val="22"/>
        </w:rPr>
        <w:t>: art. 70, § único, da Constituição Federal/1988, c/</w:t>
      </w:r>
      <w:proofErr w:type="gramStart"/>
      <w:r w:rsidRPr="00676FE2">
        <w:rPr>
          <w:b w:val="0"/>
          <w:sz w:val="22"/>
          <w:szCs w:val="22"/>
        </w:rPr>
        <w:t>c</w:t>
      </w:r>
      <w:proofErr w:type="gramEnd"/>
      <w:r w:rsidRPr="00676FE2">
        <w:rPr>
          <w:b w:val="0"/>
          <w:sz w:val="22"/>
          <w:szCs w:val="22"/>
        </w:rPr>
        <w:t xml:space="preserve"> o art. 93 do Decreto-Lei 200, de 25/2/1967; art. 20 da Instrução Normativa/STN 1/1997; </w:t>
      </w:r>
      <w:proofErr w:type="spellStart"/>
      <w:r w:rsidRPr="00676FE2">
        <w:rPr>
          <w:b w:val="0"/>
          <w:sz w:val="22"/>
          <w:szCs w:val="22"/>
        </w:rPr>
        <w:t>arts</w:t>
      </w:r>
      <w:proofErr w:type="spellEnd"/>
      <w:r w:rsidRPr="00676FE2">
        <w:rPr>
          <w:b w:val="0"/>
          <w:sz w:val="22"/>
          <w:szCs w:val="22"/>
        </w:rPr>
        <w:t>. 62 e 63 da Lei 4.320, de 17/3/1964.</w:t>
      </w:r>
    </w:p>
    <w:p w:rsidR="00C12E6E" w:rsidRPr="00676FE2" w:rsidRDefault="00C12E6E" w:rsidP="00C12E6E">
      <w:pPr>
        <w:pStyle w:val="Corpodetexto"/>
        <w:spacing w:before="120" w:after="60"/>
        <w:ind w:left="1134"/>
        <w:rPr>
          <w:sz w:val="22"/>
          <w:szCs w:val="22"/>
        </w:rPr>
      </w:pPr>
      <w:r w:rsidRPr="00676FE2">
        <w:rPr>
          <w:sz w:val="22"/>
          <w:szCs w:val="22"/>
        </w:rPr>
        <w:tab/>
        <w:t>VII - Quantificação do débito:</w:t>
      </w: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3090"/>
        <w:gridCol w:w="3119"/>
      </w:tblGrid>
      <w:tr w:rsidR="00C12E6E" w:rsidRPr="009B421A" w:rsidTr="00676FE2">
        <w:tc>
          <w:tcPr>
            <w:tcW w:w="3090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 xml:space="preserve">Datas de Ocorrência </w:t>
            </w:r>
          </w:p>
        </w:tc>
        <w:tc>
          <w:tcPr>
            <w:tcW w:w="3119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Valores históricos (R$)</w:t>
            </w:r>
          </w:p>
        </w:tc>
      </w:tr>
      <w:tr w:rsidR="00C12E6E" w:rsidRPr="009B421A" w:rsidTr="00676FE2">
        <w:tc>
          <w:tcPr>
            <w:tcW w:w="3090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13/3/2007</w:t>
            </w:r>
          </w:p>
        </w:tc>
        <w:tc>
          <w:tcPr>
            <w:tcW w:w="3119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29.238,72</w:t>
            </w:r>
          </w:p>
        </w:tc>
      </w:tr>
      <w:tr w:rsidR="00C12E6E" w:rsidRPr="009B421A" w:rsidTr="00676FE2">
        <w:tc>
          <w:tcPr>
            <w:tcW w:w="3090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26/3/2007</w:t>
            </w:r>
          </w:p>
        </w:tc>
        <w:tc>
          <w:tcPr>
            <w:tcW w:w="3119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17.850,00</w:t>
            </w:r>
          </w:p>
        </w:tc>
      </w:tr>
      <w:tr w:rsidR="00C12E6E" w:rsidRPr="009B421A" w:rsidTr="00676FE2">
        <w:tc>
          <w:tcPr>
            <w:tcW w:w="3090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21/5/2007</w:t>
            </w:r>
          </w:p>
        </w:tc>
        <w:tc>
          <w:tcPr>
            <w:tcW w:w="3119" w:type="dxa"/>
          </w:tcPr>
          <w:p w:rsidR="00C12E6E" w:rsidRPr="00676FE2" w:rsidRDefault="00C12E6E" w:rsidP="00676FE2">
            <w:pPr>
              <w:pStyle w:val="Corpodetexto"/>
              <w:rPr>
                <w:b w:val="0"/>
                <w:sz w:val="22"/>
                <w:szCs w:val="22"/>
              </w:rPr>
            </w:pPr>
            <w:r w:rsidRPr="00676FE2">
              <w:rPr>
                <w:b w:val="0"/>
                <w:sz w:val="22"/>
                <w:szCs w:val="22"/>
              </w:rPr>
              <w:t>48.731,20</w:t>
            </w:r>
          </w:p>
        </w:tc>
      </w:tr>
    </w:tbl>
    <w:p w:rsidR="00C12E6E" w:rsidRPr="00676FE2" w:rsidRDefault="00C12E6E" w:rsidP="00C12E6E">
      <w:pPr>
        <w:pStyle w:val="Corpodetexto"/>
        <w:tabs>
          <w:tab w:val="left" w:pos="1134"/>
        </w:tabs>
        <w:spacing w:before="120"/>
        <w:rPr>
          <w:b w:val="0"/>
          <w:sz w:val="24"/>
          <w:szCs w:val="24"/>
        </w:rPr>
      </w:pPr>
      <w:proofErr w:type="gramStart"/>
      <w:r w:rsidRPr="00676FE2">
        <w:rPr>
          <w:b w:val="0"/>
          <w:sz w:val="24"/>
          <w:szCs w:val="24"/>
        </w:rPr>
        <w:t>18.</w:t>
      </w:r>
      <w:r w:rsidRPr="00676FE2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C</w:t>
      </w:r>
      <w:r w:rsidRPr="00676FE2">
        <w:rPr>
          <w:b w:val="0"/>
          <w:sz w:val="24"/>
          <w:szCs w:val="24"/>
        </w:rPr>
        <w:t>onfigurada</w:t>
      </w:r>
      <w:proofErr w:type="gramEnd"/>
      <w:r>
        <w:rPr>
          <w:b w:val="0"/>
          <w:sz w:val="24"/>
          <w:szCs w:val="24"/>
        </w:rPr>
        <w:t>, então,</w:t>
      </w:r>
      <w:r w:rsidRPr="00676FE2">
        <w:rPr>
          <w:b w:val="0"/>
          <w:sz w:val="24"/>
          <w:szCs w:val="24"/>
        </w:rPr>
        <w:t xml:space="preserve"> </w:t>
      </w:r>
      <w:proofErr w:type="spellStart"/>
      <w:r w:rsidRPr="00676FE2">
        <w:rPr>
          <w:b w:val="0"/>
          <w:sz w:val="24"/>
          <w:szCs w:val="24"/>
        </w:rPr>
        <w:t>a</w:t>
      </w:r>
      <w:proofErr w:type="spellEnd"/>
      <w:r w:rsidRPr="00676FE2">
        <w:rPr>
          <w:b w:val="0"/>
          <w:sz w:val="24"/>
          <w:szCs w:val="24"/>
        </w:rPr>
        <w:t xml:space="preserve"> revelia frente à citação deste Tribunal e inexistindo nos autos elemento algum que </w:t>
      </w:r>
      <w:r>
        <w:rPr>
          <w:b w:val="0"/>
          <w:sz w:val="24"/>
          <w:szCs w:val="24"/>
        </w:rPr>
        <w:t>demonstr</w:t>
      </w:r>
      <w:r w:rsidRPr="00676FE2">
        <w:rPr>
          <w:b w:val="0"/>
          <w:sz w:val="24"/>
          <w:szCs w:val="24"/>
        </w:rPr>
        <w:t xml:space="preserve">e a execução do objeto conveniado e afaste os indícios de que a empresa contratada para execução das obras é </w:t>
      </w:r>
      <w:r>
        <w:rPr>
          <w:b w:val="0"/>
          <w:sz w:val="24"/>
          <w:szCs w:val="24"/>
        </w:rPr>
        <w:t>fictíci</w:t>
      </w:r>
      <w:r w:rsidRPr="00676FE2">
        <w:rPr>
          <w:b w:val="0"/>
          <w:sz w:val="24"/>
          <w:szCs w:val="24"/>
        </w:rPr>
        <w:t xml:space="preserve">a, </w:t>
      </w:r>
      <w:r>
        <w:rPr>
          <w:b w:val="0"/>
          <w:sz w:val="24"/>
          <w:szCs w:val="24"/>
        </w:rPr>
        <w:t xml:space="preserve">provando, assim, </w:t>
      </w:r>
      <w:r w:rsidRPr="00676FE2">
        <w:rPr>
          <w:b w:val="0"/>
          <w:sz w:val="24"/>
          <w:szCs w:val="24"/>
        </w:rPr>
        <w:t>a boa e regular aplicação dos recursos transferidos, não resta alternativa outra senão dar seguimento ao processo proferindo julgamento sobre os elementos até aqui presentes, que conduzem à irregularidade de suas contas.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Pr="00D262A3">
        <w:rPr>
          <w:sz w:val="24"/>
          <w:szCs w:val="24"/>
        </w:rPr>
        <w:t>Assim</w:t>
      </w:r>
      <w:proofErr w:type="gramEnd"/>
      <w:r w:rsidRPr="00D262A3">
        <w:rPr>
          <w:sz w:val="24"/>
          <w:szCs w:val="24"/>
        </w:rPr>
        <w:t>, devem as presentes</w:t>
      </w:r>
      <w:r>
        <w:rPr>
          <w:sz w:val="24"/>
          <w:szCs w:val="24"/>
        </w:rPr>
        <w:t xml:space="preserve"> contas ser</w:t>
      </w:r>
      <w:r w:rsidRPr="001C6F90">
        <w:rPr>
          <w:sz w:val="24"/>
          <w:szCs w:val="24"/>
        </w:rPr>
        <w:t xml:space="preserve"> julga</w:t>
      </w:r>
      <w:r>
        <w:rPr>
          <w:sz w:val="24"/>
          <w:szCs w:val="24"/>
        </w:rPr>
        <w:t>das</w:t>
      </w:r>
      <w:r w:rsidRPr="001C6F90">
        <w:rPr>
          <w:sz w:val="24"/>
          <w:szCs w:val="24"/>
        </w:rPr>
        <w:t xml:space="preserve"> </w:t>
      </w:r>
      <w:r>
        <w:rPr>
          <w:sz w:val="24"/>
          <w:szCs w:val="24"/>
        </w:rPr>
        <w:t>irregulares</w:t>
      </w:r>
      <w:r w:rsidRPr="001C6F90">
        <w:rPr>
          <w:sz w:val="24"/>
          <w:szCs w:val="24"/>
        </w:rPr>
        <w:t>,</w:t>
      </w:r>
      <w:r>
        <w:rPr>
          <w:sz w:val="24"/>
          <w:szCs w:val="24"/>
        </w:rPr>
        <w:t xml:space="preserve"> com a</w:t>
      </w:r>
      <w:r w:rsidRPr="001C6F90">
        <w:rPr>
          <w:sz w:val="24"/>
          <w:szCs w:val="24"/>
        </w:rPr>
        <w:t xml:space="preserve"> condenação em débito e aplicação de multa</w:t>
      </w:r>
      <w:r>
        <w:rPr>
          <w:sz w:val="24"/>
          <w:szCs w:val="24"/>
        </w:rPr>
        <w:t xml:space="preserve"> individual, com fundamento nos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</w:t>
      </w:r>
      <w:r w:rsidRPr="005F1AA8">
        <w:rPr>
          <w:sz w:val="24"/>
          <w:szCs w:val="24"/>
        </w:rPr>
        <w:t xml:space="preserve">1º, inciso I, </w:t>
      </w:r>
      <w:r>
        <w:rPr>
          <w:sz w:val="24"/>
          <w:szCs w:val="24"/>
        </w:rPr>
        <w:t xml:space="preserve">12, § 3º, </w:t>
      </w:r>
      <w:r w:rsidRPr="005F1AA8">
        <w:rPr>
          <w:sz w:val="24"/>
          <w:szCs w:val="24"/>
        </w:rPr>
        <w:t>16, inciso III, alínea</w:t>
      </w:r>
      <w:r>
        <w:rPr>
          <w:sz w:val="24"/>
          <w:szCs w:val="24"/>
        </w:rPr>
        <w:t xml:space="preserve">s ‘b’ e ‘c’, 19 e 23 </w:t>
      </w:r>
      <w:r w:rsidRPr="005F1AA8">
        <w:rPr>
          <w:sz w:val="24"/>
          <w:szCs w:val="24"/>
        </w:rPr>
        <w:t xml:space="preserve">da Lei </w:t>
      </w:r>
      <w:r>
        <w:rPr>
          <w:sz w:val="24"/>
          <w:szCs w:val="24"/>
        </w:rPr>
        <w:t xml:space="preserve">8.443/1992, desconsiderando, antecipadamente, a personalidade jurídica da contratada, para alcançar os sócios dela. </w:t>
      </w:r>
      <w:r>
        <w:rPr>
          <w:sz w:val="24"/>
          <w:szCs w:val="24"/>
        </w:rPr>
        <w:tab/>
        <w:t xml:space="preserve">Deve ainda, perante a gravidade dos fatos, aplicar conforme o caso, as sanções previstas nos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46 e 60 da Lei 8.443/1992. Também deve ser </w:t>
      </w:r>
      <w:r w:rsidRPr="001C6F90">
        <w:rPr>
          <w:sz w:val="24"/>
          <w:szCs w:val="24"/>
        </w:rPr>
        <w:t>remetida có</w:t>
      </w:r>
      <w:r>
        <w:rPr>
          <w:sz w:val="24"/>
          <w:szCs w:val="24"/>
        </w:rPr>
        <w:t xml:space="preserve">pia dos elementos pertinentes ao Ministério Público da União, </w:t>
      </w:r>
      <w:r w:rsidRPr="001C6F90">
        <w:rPr>
          <w:sz w:val="24"/>
          <w:szCs w:val="24"/>
        </w:rPr>
        <w:t>atendendo, assim, ao disposto no art. 16, § 3º, da Lei 8.443/1992 c/</w:t>
      </w:r>
      <w:proofErr w:type="gramStart"/>
      <w:r w:rsidRPr="001C6F90">
        <w:rPr>
          <w:sz w:val="24"/>
          <w:szCs w:val="24"/>
        </w:rPr>
        <w:t>c</w:t>
      </w:r>
      <w:proofErr w:type="gramEnd"/>
      <w:r w:rsidRPr="001C6F90">
        <w:rPr>
          <w:sz w:val="24"/>
          <w:szCs w:val="24"/>
        </w:rPr>
        <w:t xml:space="preserve"> o art. 209, § 6º, do Regimento Interno/TCU.</w:t>
      </w:r>
    </w:p>
    <w:p w:rsidR="00C12E6E" w:rsidRDefault="00C12E6E" w:rsidP="00C12E6E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430405">
        <w:rPr>
          <w:b/>
          <w:sz w:val="24"/>
          <w:szCs w:val="24"/>
        </w:rPr>
        <w:t>CONCLUSÃO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EB1D87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0557E2">
        <w:rPr>
          <w:sz w:val="24"/>
          <w:szCs w:val="24"/>
        </w:rPr>
        <w:t>Diante da revelia do</w:t>
      </w:r>
      <w:r w:rsidRPr="001A30AD">
        <w:rPr>
          <w:sz w:val="24"/>
          <w:szCs w:val="24"/>
        </w:rPr>
        <w:t>s</w:t>
      </w:r>
      <w:r w:rsidRPr="000557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responsáveis </w:t>
      </w:r>
      <w:r w:rsidRPr="000557E2">
        <w:rPr>
          <w:sz w:val="24"/>
          <w:szCs w:val="24"/>
        </w:rPr>
        <w:t xml:space="preserve">e </w:t>
      </w:r>
      <w:r>
        <w:rPr>
          <w:sz w:val="24"/>
          <w:szCs w:val="24"/>
        </w:rPr>
        <w:t>inexistindo nos autos elementos que permitam concluir pela ocorrência de</w:t>
      </w:r>
      <w:r w:rsidRPr="000557E2">
        <w:rPr>
          <w:sz w:val="24"/>
          <w:szCs w:val="24"/>
        </w:rPr>
        <w:t xml:space="preserve"> boa-fé</w:t>
      </w:r>
      <w:r>
        <w:rPr>
          <w:sz w:val="24"/>
          <w:szCs w:val="24"/>
        </w:rPr>
        <w:t xml:space="preserve"> ou de outros excludentes de culpabilidade em suas condutas</w:t>
      </w:r>
      <w:r w:rsidRPr="000557E2">
        <w:rPr>
          <w:sz w:val="24"/>
          <w:szCs w:val="24"/>
        </w:rPr>
        <w:t xml:space="preserve">, </w:t>
      </w:r>
      <w:r>
        <w:rPr>
          <w:sz w:val="24"/>
          <w:szCs w:val="24"/>
        </w:rPr>
        <w:t>propõe-se que</w:t>
      </w:r>
      <w:r w:rsidRPr="000557E2">
        <w:rPr>
          <w:sz w:val="24"/>
          <w:szCs w:val="24"/>
        </w:rPr>
        <w:t xml:space="preserve"> </w:t>
      </w:r>
      <w:r>
        <w:rPr>
          <w:sz w:val="24"/>
          <w:szCs w:val="24"/>
        </w:rPr>
        <w:t>suas contas sejam julgadas</w:t>
      </w:r>
      <w:r w:rsidRPr="00333024">
        <w:rPr>
          <w:sz w:val="24"/>
          <w:szCs w:val="24"/>
        </w:rPr>
        <w:t xml:space="preserve"> irregulares</w:t>
      </w:r>
      <w:r>
        <w:rPr>
          <w:sz w:val="24"/>
          <w:szCs w:val="24"/>
        </w:rPr>
        <w:t xml:space="preserve"> e que os responsáveis sejam condenados em débito,</w:t>
      </w:r>
      <w:r w:rsidRPr="003330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bem como que lhes sejam aplicados a </w:t>
      </w:r>
      <w:r w:rsidRPr="00333024">
        <w:rPr>
          <w:sz w:val="24"/>
          <w:szCs w:val="24"/>
        </w:rPr>
        <w:t>multa</w:t>
      </w:r>
      <w:r>
        <w:rPr>
          <w:sz w:val="24"/>
          <w:szCs w:val="24"/>
        </w:rPr>
        <w:t xml:space="preserve"> prevista no</w:t>
      </w:r>
      <w:r w:rsidRPr="00333024">
        <w:rPr>
          <w:sz w:val="24"/>
          <w:szCs w:val="24"/>
        </w:rPr>
        <w:t xml:space="preserve"> </w:t>
      </w:r>
      <w:r w:rsidRPr="00AA280D">
        <w:rPr>
          <w:sz w:val="24"/>
          <w:szCs w:val="24"/>
        </w:rPr>
        <w:t>art. 57 da Lei 8.443/1992</w:t>
      </w:r>
      <w:r>
        <w:rPr>
          <w:sz w:val="24"/>
          <w:szCs w:val="24"/>
        </w:rPr>
        <w:t xml:space="preserve">. </w:t>
      </w:r>
      <w:r w:rsidRPr="00E40188">
        <w:rPr>
          <w:sz w:val="24"/>
          <w:szCs w:val="24"/>
        </w:rPr>
        <w:t xml:space="preserve">Deve ainda, perante a gravidade dos fatos, aplicar conforme o caso, as sanções previstas nos </w:t>
      </w:r>
      <w:proofErr w:type="spellStart"/>
      <w:r w:rsidRPr="00E40188">
        <w:rPr>
          <w:sz w:val="24"/>
          <w:szCs w:val="24"/>
        </w:rPr>
        <w:t>arts</w:t>
      </w:r>
      <w:proofErr w:type="spellEnd"/>
      <w:r w:rsidRPr="00E40188">
        <w:rPr>
          <w:sz w:val="24"/>
          <w:szCs w:val="24"/>
        </w:rPr>
        <w:t>. 46 e 60 da Lei 8.443/1992. Também deve ser remetida cópia dos elementos pertinentes ao Ministério Público da União, atendendo, assim, ao disposto no art. 16, § 3º, da Lei 8.443/1992 c/</w:t>
      </w:r>
      <w:proofErr w:type="gramStart"/>
      <w:r w:rsidRPr="00E40188">
        <w:rPr>
          <w:sz w:val="24"/>
          <w:szCs w:val="24"/>
        </w:rPr>
        <w:t>c</w:t>
      </w:r>
      <w:proofErr w:type="gramEnd"/>
      <w:r w:rsidRPr="00E40188">
        <w:rPr>
          <w:sz w:val="24"/>
          <w:szCs w:val="24"/>
        </w:rPr>
        <w:t xml:space="preserve"> o art. 209, § 6º, do Regimento Interno/TCU.</w:t>
      </w:r>
    </w:p>
    <w:p w:rsidR="00C12E6E" w:rsidRDefault="00C12E6E" w:rsidP="00C12E6E">
      <w:pPr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BENEFÍCIOS DAS AÇÕES DE CONTROLE EXTERNO</w:t>
      </w:r>
    </w:p>
    <w:p w:rsidR="00C12E6E" w:rsidRPr="007758DE" w:rsidRDefault="00C12E6E" w:rsidP="00C12E6E">
      <w:pPr>
        <w:widowControl w:val="0"/>
        <w:tabs>
          <w:tab w:val="left" w:pos="1134"/>
        </w:tabs>
        <w:spacing w:before="120"/>
        <w:jc w:val="both"/>
        <w:rPr>
          <w:b/>
          <w:i/>
          <w:color w:val="0070C0"/>
          <w:sz w:val="24"/>
          <w:szCs w:val="24"/>
        </w:rPr>
      </w:pPr>
      <w:r>
        <w:rPr>
          <w:sz w:val="24"/>
          <w:szCs w:val="24"/>
        </w:rPr>
        <w:t>21</w:t>
      </w:r>
      <w:r w:rsidRPr="00F61B2E">
        <w:rPr>
          <w:sz w:val="24"/>
          <w:szCs w:val="24"/>
        </w:rPr>
        <w:tab/>
        <w:t xml:space="preserve">Entre os benefícios do exame desta </w:t>
      </w:r>
      <w:r>
        <w:rPr>
          <w:sz w:val="24"/>
          <w:szCs w:val="24"/>
        </w:rPr>
        <w:t>tomada de contas especial</w:t>
      </w:r>
      <w:r w:rsidRPr="00F61B2E">
        <w:rPr>
          <w:sz w:val="24"/>
          <w:szCs w:val="24"/>
        </w:rPr>
        <w:t xml:space="preserve"> pode-se mencionar</w:t>
      </w:r>
      <w:r>
        <w:rPr>
          <w:sz w:val="24"/>
          <w:szCs w:val="24"/>
        </w:rPr>
        <w:t xml:space="preserve"> a devolução dos recursos impugnados, no valor atualizado de R$ 157.064,10, e aplicação de sanção aos responsáveis.</w:t>
      </w:r>
    </w:p>
    <w:p w:rsidR="00C12E6E" w:rsidRPr="00723C2C" w:rsidRDefault="00C12E6E" w:rsidP="00C12E6E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723C2C">
        <w:rPr>
          <w:b/>
          <w:sz w:val="24"/>
          <w:szCs w:val="24"/>
        </w:rPr>
        <w:t>PROPOSTA DE ENCAMINHAMENTO</w:t>
      </w:r>
    </w:p>
    <w:p w:rsidR="00C12E6E" w:rsidRPr="0023585C" w:rsidRDefault="00C12E6E" w:rsidP="00C12E6E">
      <w:pPr>
        <w:tabs>
          <w:tab w:val="left" w:pos="1134"/>
        </w:tabs>
        <w:spacing w:before="12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22.</w:t>
      </w:r>
      <w:r>
        <w:rPr>
          <w:rFonts w:ascii="Times-Roman" w:hAnsi="Times-Roman" w:cs="Times-Roman"/>
          <w:sz w:val="24"/>
          <w:szCs w:val="24"/>
        </w:rPr>
        <w:tab/>
        <w:t>Diante do</w:t>
      </w:r>
      <w:r w:rsidRPr="0023585C">
        <w:rPr>
          <w:rFonts w:ascii="Times-Roman" w:hAnsi="Times-Roman" w:cs="Times-Roman"/>
          <w:sz w:val="24"/>
          <w:szCs w:val="24"/>
        </w:rPr>
        <w:t xml:space="preserve"> exposto, submetem</w:t>
      </w:r>
      <w:r>
        <w:rPr>
          <w:rFonts w:ascii="Times-Roman" w:hAnsi="Times-Roman" w:cs="Times-Roman"/>
          <w:sz w:val="24"/>
          <w:szCs w:val="24"/>
        </w:rPr>
        <w:t>-</w:t>
      </w:r>
      <w:r w:rsidRPr="0023585C">
        <w:rPr>
          <w:rFonts w:ascii="Times-Roman" w:hAnsi="Times-Roman" w:cs="Times-Roman"/>
          <w:sz w:val="24"/>
          <w:szCs w:val="24"/>
        </w:rPr>
        <w:t>s</w:t>
      </w:r>
      <w:r>
        <w:rPr>
          <w:rFonts w:ascii="Times-Roman" w:hAnsi="Times-Roman" w:cs="Times-Roman"/>
          <w:sz w:val="24"/>
          <w:szCs w:val="24"/>
        </w:rPr>
        <w:t>e</w:t>
      </w:r>
      <w:r w:rsidRPr="0023585C">
        <w:rPr>
          <w:rFonts w:ascii="Times-Roman" w:hAnsi="Times-Roman" w:cs="Times-Roman"/>
          <w:sz w:val="24"/>
          <w:szCs w:val="24"/>
        </w:rPr>
        <w:t xml:space="preserve"> os autos à consideração superior, propondo</w:t>
      </w:r>
      <w:r>
        <w:rPr>
          <w:rFonts w:ascii="Times-Roman" w:hAnsi="Times-Roman" w:cs="Times-Roman"/>
          <w:sz w:val="24"/>
          <w:szCs w:val="24"/>
        </w:rPr>
        <w:t xml:space="preserve"> ao Tribunal</w:t>
      </w:r>
      <w:r w:rsidRPr="0023585C">
        <w:rPr>
          <w:rFonts w:ascii="Times-Roman" w:hAnsi="Times-Roman" w:cs="Times-Roman"/>
          <w:sz w:val="24"/>
          <w:szCs w:val="24"/>
        </w:rPr>
        <w:t>:</w:t>
      </w:r>
    </w:p>
    <w:p w:rsidR="00C12E6E" w:rsidRDefault="00C12E6E" w:rsidP="00C12E6E">
      <w:pPr>
        <w:autoSpaceDE w:val="0"/>
        <w:autoSpaceDN w:val="0"/>
        <w:adjustRightInd w:val="0"/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0D4428">
        <w:rPr>
          <w:sz w:val="24"/>
          <w:szCs w:val="24"/>
        </w:rPr>
        <w:t xml:space="preserve">considerar revéis, para todos os efeitos, a empresa </w:t>
      </w:r>
      <w:r>
        <w:rPr>
          <w:sz w:val="24"/>
          <w:szCs w:val="24"/>
        </w:rPr>
        <w:t>S.J.L Construções e Serviços Ltda.</w:t>
      </w:r>
      <w:r w:rsidRPr="000D4428">
        <w:rPr>
          <w:sz w:val="24"/>
          <w:szCs w:val="24"/>
        </w:rPr>
        <w:t xml:space="preserve"> (CNPJ </w:t>
      </w:r>
      <w:r>
        <w:rPr>
          <w:rFonts w:eastAsiaTheme="minorHAnsi"/>
          <w:sz w:val="24"/>
          <w:szCs w:val="24"/>
          <w:lang w:eastAsia="en-US"/>
        </w:rPr>
        <w:t>04.966.148/0001-36</w:t>
      </w:r>
      <w:r w:rsidRPr="000D4428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0D4428">
        <w:rPr>
          <w:sz w:val="24"/>
          <w:szCs w:val="24"/>
        </w:rPr>
        <w:t xml:space="preserve"> contratada para executar as obras do Convênio </w:t>
      </w:r>
      <w:r>
        <w:rPr>
          <w:sz w:val="24"/>
          <w:szCs w:val="24"/>
        </w:rPr>
        <w:t>1125/2006</w:t>
      </w:r>
      <w:r w:rsidRPr="000D4428">
        <w:rPr>
          <w:sz w:val="24"/>
          <w:szCs w:val="24"/>
        </w:rPr>
        <w:t xml:space="preserve"> (</w:t>
      </w:r>
      <w:proofErr w:type="spellStart"/>
      <w:r w:rsidRPr="000D4428">
        <w:rPr>
          <w:sz w:val="24"/>
          <w:szCs w:val="24"/>
        </w:rPr>
        <w:t>Siafi</w:t>
      </w:r>
      <w:proofErr w:type="spellEnd"/>
      <w:r w:rsidRPr="000D4428">
        <w:rPr>
          <w:sz w:val="24"/>
          <w:szCs w:val="24"/>
        </w:rPr>
        <w:t xml:space="preserve"> </w:t>
      </w:r>
      <w:r>
        <w:rPr>
          <w:sz w:val="24"/>
          <w:szCs w:val="24"/>
        </w:rPr>
        <w:t>569762</w:t>
      </w:r>
      <w:r w:rsidRPr="000D4428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 w:rsidRPr="000D4428">
        <w:rPr>
          <w:sz w:val="24"/>
          <w:szCs w:val="24"/>
        </w:rPr>
        <w:t xml:space="preserve">  </w:t>
      </w:r>
      <w:r>
        <w:rPr>
          <w:sz w:val="24"/>
          <w:szCs w:val="24"/>
        </w:rPr>
        <w:t>Sra.</w:t>
      </w:r>
      <w:proofErr w:type="gramEnd"/>
      <w:r w:rsidRPr="003F41A2">
        <w:rPr>
          <w:rFonts w:eastAsiaTheme="minorHAnsi"/>
          <w:sz w:val="24"/>
          <w:szCs w:val="24"/>
          <w:lang w:eastAsia="en-US"/>
        </w:rPr>
        <w:t xml:space="preserve"> </w:t>
      </w:r>
      <w:r w:rsidRPr="00A428FE">
        <w:rPr>
          <w:rFonts w:eastAsiaTheme="minorHAnsi"/>
          <w:sz w:val="24"/>
          <w:szCs w:val="24"/>
          <w:lang w:eastAsia="en-US"/>
        </w:rPr>
        <w:t>Antônia Linhares Fernandes (CPF 146.524.124-87)</w:t>
      </w:r>
      <w:r>
        <w:rPr>
          <w:rFonts w:eastAsiaTheme="minorHAnsi"/>
          <w:sz w:val="24"/>
          <w:szCs w:val="24"/>
          <w:lang w:eastAsia="en-US"/>
        </w:rPr>
        <w:t>,</w:t>
      </w:r>
      <w:r w:rsidRPr="00A428F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e os Srs. </w:t>
      </w:r>
      <w:proofErr w:type="spellStart"/>
      <w:r>
        <w:rPr>
          <w:rFonts w:eastAsiaTheme="minorHAnsi"/>
          <w:sz w:val="24"/>
          <w:szCs w:val="24"/>
          <w:lang w:eastAsia="en-US"/>
        </w:rPr>
        <w:t>Edvan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Pereira de Oliveira Júnior (CPF 033.599.704-03), </w:t>
      </w:r>
      <w:r w:rsidRPr="00A428FE">
        <w:rPr>
          <w:rFonts w:eastAsiaTheme="minorHAnsi"/>
          <w:sz w:val="24"/>
          <w:szCs w:val="24"/>
          <w:lang w:eastAsia="en-US"/>
        </w:rPr>
        <w:t xml:space="preserve">José Roberto Marcelino Pereira (CPF 568.300.504-30), </w:t>
      </w:r>
      <w:r>
        <w:rPr>
          <w:rFonts w:eastAsiaTheme="minorHAnsi"/>
          <w:sz w:val="24"/>
          <w:szCs w:val="24"/>
          <w:lang w:eastAsia="en-US"/>
        </w:rPr>
        <w:t xml:space="preserve">Saulo José de Lima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(CPF 078.530.504-10), José </w:t>
      </w:r>
      <w:proofErr w:type="spellStart"/>
      <w:r>
        <w:rPr>
          <w:rFonts w:eastAsiaTheme="minorHAnsi"/>
          <w:sz w:val="24"/>
          <w:szCs w:val="24"/>
          <w:lang w:eastAsia="en-US"/>
        </w:rPr>
        <w:t>Altemir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Dantas (CPF 045.013.184-06) e Francisco Canindé da Silva Dantas (CPF 040.994.684-29), </w:t>
      </w:r>
      <w:r w:rsidRPr="000D4428">
        <w:rPr>
          <w:sz w:val="24"/>
          <w:szCs w:val="24"/>
        </w:rPr>
        <w:t>nos termos do art. 12, § 3º, da Lei 8.443/92;</w:t>
      </w:r>
    </w:p>
    <w:p w:rsidR="00C12E6E" w:rsidRDefault="00C12E6E" w:rsidP="00C12E6E">
      <w:pPr>
        <w:autoSpaceDE w:val="0"/>
        <w:autoSpaceDN w:val="0"/>
        <w:adjustRightInd w:val="0"/>
        <w:spacing w:before="120" w:after="60"/>
        <w:ind w:firstLine="1134"/>
        <w:jc w:val="both"/>
        <w:rPr>
          <w:sz w:val="24"/>
          <w:szCs w:val="24"/>
          <w:lang w:eastAsia="en-US"/>
        </w:rPr>
      </w:pPr>
      <w:r w:rsidRPr="00430405">
        <w:rPr>
          <w:sz w:val="24"/>
          <w:szCs w:val="24"/>
        </w:rPr>
        <w:tab/>
      </w:r>
      <w:r>
        <w:rPr>
          <w:sz w:val="24"/>
          <w:szCs w:val="24"/>
        </w:rPr>
        <w:t xml:space="preserve">b) </w:t>
      </w:r>
      <w:r w:rsidRPr="005F1AA8">
        <w:rPr>
          <w:sz w:val="24"/>
          <w:szCs w:val="24"/>
        </w:rPr>
        <w:t xml:space="preserve">com fundamento nos </w:t>
      </w:r>
      <w:proofErr w:type="spellStart"/>
      <w:r w:rsidRPr="005F1AA8">
        <w:rPr>
          <w:sz w:val="24"/>
          <w:szCs w:val="24"/>
        </w:rPr>
        <w:t>arts</w:t>
      </w:r>
      <w:proofErr w:type="spellEnd"/>
      <w:r w:rsidRPr="005F1AA8">
        <w:rPr>
          <w:sz w:val="24"/>
          <w:szCs w:val="24"/>
        </w:rPr>
        <w:t>. 1º, inciso I, 16, inciso III, alínea</w:t>
      </w:r>
      <w:r>
        <w:rPr>
          <w:sz w:val="24"/>
          <w:szCs w:val="24"/>
        </w:rPr>
        <w:t xml:space="preserve">s ‘b’ e ‘c’, </w:t>
      </w:r>
      <w:r w:rsidRPr="005F1AA8">
        <w:rPr>
          <w:sz w:val="24"/>
          <w:szCs w:val="24"/>
        </w:rPr>
        <w:t xml:space="preserve">da Lei </w:t>
      </w:r>
      <w:r>
        <w:rPr>
          <w:sz w:val="24"/>
          <w:szCs w:val="24"/>
        </w:rPr>
        <w:t>8.443/1992</w:t>
      </w:r>
      <w:r w:rsidRPr="005F1AA8">
        <w:rPr>
          <w:sz w:val="24"/>
          <w:szCs w:val="24"/>
        </w:rPr>
        <w:t xml:space="preserve"> c/</w:t>
      </w:r>
      <w:proofErr w:type="gramStart"/>
      <w:r w:rsidRPr="005F1AA8">
        <w:rPr>
          <w:sz w:val="24"/>
          <w:szCs w:val="24"/>
        </w:rPr>
        <w:t>c</w:t>
      </w:r>
      <w:proofErr w:type="gramEnd"/>
      <w:r w:rsidRPr="005F1AA8">
        <w:rPr>
          <w:sz w:val="24"/>
          <w:szCs w:val="24"/>
        </w:rPr>
        <w:t xml:space="preserve"> os </w:t>
      </w:r>
      <w:proofErr w:type="spellStart"/>
      <w:r w:rsidRPr="005F1AA8">
        <w:rPr>
          <w:sz w:val="24"/>
          <w:szCs w:val="24"/>
        </w:rPr>
        <w:t>arts</w:t>
      </w:r>
      <w:proofErr w:type="spellEnd"/>
      <w:r w:rsidRPr="005F1AA8">
        <w:rPr>
          <w:sz w:val="24"/>
          <w:szCs w:val="24"/>
        </w:rPr>
        <w:t xml:space="preserve">. 19 e 23, inciso III, da mesma Lei, e com </w:t>
      </w:r>
      <w:proofErr w:type="spellStart"/>
      <w:r w:rsidRPr="005F1AA8">
        <w:rPr>
          <w:sz w:val="24"/>
          <w:szCs w:val="24"/>
        </w:rPr>
        <w:t>arts</w:t>
      </w:r>
      <w:proofErr w:type="spellEnd"/>
      <w:r w:rsidRPr="005F1AA8">
        <w:rPr>
          <w:sz w:val="24"/>
          <w:szCs w:val="24"/>
        </w:rPr>
        <w:t>. 1º, inciso I, 209, inciso</w:t>
      </w:r>
      <w:r>
        <w:rPr>
          <w:sz w:val="24"/>
          <w:szCs w:val="24"/>
        </w:rPr>
        <w:t xml:space="preserve"> III,</w:t>
      </w:r>
      <w:r w:rsidRPr="005F1AA8">
        <w:rPr>
          <w:sz w:val="24"/>
          <w:szCs w:val="24"/>
        </w:rPr>
        <w:t xml:space="preserve"> 210 e 214, inciso III, do Regimento Interno,</w:t>
      </w:r>
      <w:r w:rsidRPr="005F1AA8">
        <w:rPr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>que sejam julgadas</w:t>
      </w:r>
      <w:r w:rsidRPr="005F1AA8">
        <w:rPr>
          <w:bCs/>
          <w:sz w:val="24"/>
          <w:szCs w:val="24"/>
          <w:lang w:eastAsia="en-US"/>
        </w:rPr>
        <w:t xml:space="preserve"> </w:t>
      </w:r>
      <w:r w:rsidRPr="005F1AA8">
        <w:rPr>
          <w:b/>
          <w:bCs/>
          <w:sz w:val="24"/>
          <w:szCs w:val="24"/>
          <w:lang w:eastAsia="en-US"/>
        </w:rPr>
        <w:t>irregulares</w:t>
      </w:r>
      <w:r w:rsidRPr="005F1AA8">
        <w:rPr>
          <w:bCs/>
          <w:sz w:val="24"/>
          <w:szCs w:val="24"/>
          <w:lang w:eastAsia="en-US"/>
        </w:rPr>
        <w:t xml:space="preserve"> as contas </w:t>
      </w:r>
      <w:r w:rsidRPr="00772ABF">
        <w:rPr>
          <w:bCs/>
          <w:sz w:val="24"/>
          <w:szCs w:val="24"/>
          <w:lang w:eastAsia="en-US"/>
        </w:rPr>
        <w:t>d</w:t>
      </w:r>
      <w:r>
        <w:rPr>
          <w:bCs/>
          <w:sz w:val="24"/>
          <w:szCs w:val="24"/>
          <w:lang w:eastAsia="en-US"/>
        </w:rPr>
        <w:t>e</w:t>
      </w:r>
      <w:r w:rsidRPr="003F41A2">
        <w:rPr>
          <w:rFonts w:eastAsiaTheme="minorHAnsi"/>
          <w:sz w:val="24"/>
          <w:szCs w:val="24"/>
          <w:lang w:eastAsia="en-US"/>
        </w:rPr>
        <w:t xml:space="preserve"> </w:t>
      </w:r>
      <w:r w:rsidRPr="00A428FE">
        <w:rPr>
          <w:rFonts w:eastAsiaTheme="minorHAnsi"/>
          <w:sz w:val="24"/>
          <w:szCs w:val="24"/>
          <w:lang w:eastAsia="en-US"/>
        </w:rPr>
        <w:t>Antônia Linhares Fernandes (CPF 146.524.124-87)</w:t>
      </w:r>
      <w:r>
        <w:rPr>
          <w:rFonts w:eastAsiaTheme="minorHAnsi"/>
          <w:sz w:val="24"/>
          <w:szCs w:val="24"/>
          <w:lang w:eastAsia="en-US"/>
        </w:rPr>
        <w:t xml:space="preserve">, Sr. </w:t>
      </w:r>
      <w:proofErr w:type="spellStart"/>
      <w:r>
        <w:rPr>
          <w:rFonts w:eastAsiaTheme="minorHAnsi"/>
          <w:sz w:val="24"/>
          <w:szCs w:val="24"/>
          <w:lang w:eastAsia="en-US"/>
        </w:rPr>
        <w:t>Edvan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Pereira de Oliveira Júnior (CPF 033.599.704-03), ex-Prefeitos municipais, </w:t>
      </w:r>
      <w:r w:rsidRPr="00A428FE">
        <w:rPr>
          <w:rFonts w:eastAsiaTheme="minorHAnsi"/>
          <w:sz w:val="24"/>
          <w:szCs w:val="24"/>
          <w:lang w:eastAsia="en-US"/>
        </w:rPr>
        <w:t>José Roberto Marcelino Pereira (CPF 568.300.504-30),</w:t>
      </w:r>
      <w:r>
        <w:rPr>
          <w:rFonts w:eastAsiaTheme="minorHAnsi"/>
          <w:sz w:val="24"/>
          <w:szCs w:val="24"/>
          <w:lang w:eastAsia="en-US"/>
        </w:rPr>
        <w:t xml:space="preserve"> Saulo José de Lima (CPF 078.530.504-10), </w:t>
      </w:r>
      <w:r w:rsidRPr="00A428FE">
        <w:rPr>
          <w:rFonts w:eastAsiaTheme="minorHAnsi"/>
          <w:sz w:val="24"/>
          <w:szCs w:val="24"/>
          <w:lang w:eastAsia="en-US"/>
        </w:rPr>
        <w:t>proprietário</w:t>
      </w:r>
      <w:r>
        <w:rPr>
          <w:rFonts w:eastAsiaTheme="minorHAnsi"/>
          <w:sz w:val="24"/>
          <w:szCs w:val="24"/>
          <w:lang w:eastAsia="en-US"/>
        </w:rPr>
        <w:t>s</w:t>
      </w:r>
      <w:r w:rsidRPr="00A428FE">
        <w:rPr>
          <w:rFonts w:eastAsiaTheme="minorHAnsi"/>
          <w:sz w:val="24"/>
          <w:szCs w:val="24"/>
          <w:lang w:eastAsia="en-US"/>
        </w:rPr>
        <w:t xml:space="preserve"> de fato da empresa S. J. L Construções e Serviços Ltda.</w:t>
      </w:r>
      <w:r>
        <w:rPr>
          <w:rFonts w:eastAsiaTheme="minorHAnsi"/>
          <w:sz w:val="24"/>
          <w:szCs w:val="24"/>
          <w:lang w:eastAsia="en-US"/>
        </w:rPr>
        <w:t>,</w:t>
      </w:r>
      <w:r w:rsidRPr="00F3153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José </w:t>
      </w:r>
      <w:proofErr w:type="spellStart"/>
      <w:r>
        <w:rPr>
          <w:rFonts w:eastAsiaTheme="minorHAnsi"/>
          <w:sz w:val="24"/>
          <w:szCs w:val="24"/>
          <w:lang w:eastAsia="en-US"/>
        </w:rPr>
        <w:t>Altemir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Dantas (CPF 045.013.184-06) e Francisco Canindé da Silva Dantas (CPF 040.994.684-29), </w:t>
      </w:r>
      <w:r>
        <w:rPr>
          <w:sz w:val="24"/>
          <w:szCs w:val="24"/>
        </w:rPr>
        <w:t xml:space="preserve">sócios formais da empresa </w:t>
      </w:r>
      <w:r w:rsidRPr="00A428FE">
        <w:rPr>
          <w:rFonts w:eastAsiaTheme="minorHAnsi"/>
          <w:sz w:val="24"/>
          <w:szCs w:val="24"/>
          <w:lang w:eastAsia="en-US"/>
        </w:rPr>
        <w:t>S. J. L Construções e Serviços Ltda</w:t>
      </w:r>
      <w:r>
        <w:rPr>
          <w:rFonts w:eastAsiaTheme="minorHAnsi"/>
          <w:sz w:val="24"/>
          <w:szCs w:val="24"/>
          <w:lang w:eastAsia="en-US"/>
        </w:rPr>
        <w:t>.,</w:t>
      </w:r>
      <w:r w:rsidRPr="005F1AA8">
        <w:rPr>
          <w:bCs/>
          <w:sz w:val="24"/>
          <w:szCs w:val="24"/>
          <w:lang w:eastAsia="en-US"/>
        </w:rPr>
        <w:t xml:space="preserve"> conden</w:t>
      </w:r>
      <w:r>
        <w:rPr>
          <w:bCs/>
          <w:sz w:val="24"/>
          <w:szCs w:val="24"/>
          <w:lang w:eastAsia="en-US"/>
        </w:rPr>
        <w:t>ando</w:t>
      </w:r>
      <w:r w:rsidRPr="005F1AA8">
        <w:rPr>
          <w:bCs/>
          <w:sz w:val="24"/>
          <w:szCs w:val="24"/>
          <w:lang w:eastAsia="en-US"/>
        </w:rPr>
        <w:t>-o</w:t>
      </w:r>
      <w:r w:rsidRPr="00015B64">
        <w:rPr>
          <w:bCs/>
          <w:sz w:val="24"/>
          <w:szCs w:val="24"/>
          <w:lang w:eastAsia="en-US"/>
        </w:rPr>
        <w:t>s</w:t>
      </w:r>
      <w:r>
        <w:rPr>
          <w:bCs/>
          <w:sz w:val="24"/>
          <w:szCs w:val="24"/>
          <w:lang w:eastAsia="en-US"/>
        </w:rPr>
        <w:t>,</w:t>
      </w:r>
      <w:r w:rsidRPr="005F1AA8">
        <w:rPr>
          <w:bCs/>
          <w:sz w:val="24"/>
          <w:szCs w:val="24"/>
          <w:lang w:eastAsia="en-US"/>
        </w:rPr>
        <w:t xml:space="preserve"> </w:t>
      </w:r>
      <w:r w:rsidRPr="0046309A">
        <w:rPr>
          <w:bCs/>
          <w:sz w:val="24"/>
          <w:szCs w:val="24"/>
          <w:lang w:eastAsia="en-US"/>
        </w:rPr>
        <w:t xml:space="preserve">em solidariedade, </w:t>
      </w:r>
      <w:r w:rsidRPr="0046309A">
        <w:rPr>
          <w:sz w:val="24"/>
          <w:szCs w:val="24"/>
          <w:lang w:eastAsia="en-US"/>
        </w:rPr>
        <w:t>com a empresa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S.J.L Construções e Serviços Ltda.</w:t>
      </w:r>
      <w:r w:rsidRPr="000D4428">
        <w:rPr>
          <w:sz w:val="24"/>
          <w:szCs w:val="24"/>
        </w:rPr>
        <w:t xml:space="preserve"> (</w:t>
      </w:r>
      <w:r>
        <w:rPr>
          <w:rFonts w:eastAsiaTheme="minorHAnsi"/>
          <w:sz w:val="24"/>
          <w:szCs w:val="24"/>
          <w:lang w:eastAsia="en-US"/>
        </w:rPr>
        <w:t>CNPJ 04.966.148/0001-36</w:t>
      </w:r>
      <w:r w:rsidRPr="000D4428">
        <w:rPr>
          <w:sz w:val="24"/>
          <w:szCs w:val="24"/>
        </w:rPr>
        <w:t>)</w:t>
      </w:r>
      <w:r w:rsidRPr="001F2AF7">
        <w:rPr>
          <w:sz w:val="24"/>
          <w:szCs w:val="24"/>
        </w:rPr>
        <w:t>,</w:t>
      </w:r>
      <w:r>
        <w:rPr>
          <w:i/>
          <w:color w:val="0070C0"/>
          <w:sz w:val="24"/>
          <w:szCs w:val="24"/>
          <w:lang w:eastAsia="en-US"/>
        </w:rPr>
        <w:t xml:space="preserve"> </w:t>
      </w:r>
      <w:r w:rsidRPr="005F1AA8">
        <w:rPr>
          <w:sz w:val="24"/>
          <w:szCs w:val="24"/>
          <w:lang w:eastAsia="en-US"/>
        </w:rPr>
        <w:t>ao pagamento da</w:t>
      </w:r>
      <w:r w:rsidRPr="00015B64">
        <w:rPr>
          <w:sz w:val="24"/>
          <w:szCs w:val="24"/>
          <w:lang w:eastAsia="en-US"/>
        </w:rPr>
        <w:t>s</w:t>
      </w:r>
      <w:r w:rsidRPr="005F1AA8">
        <w:rPr>
          <w:sz w:val="24"/>
          <w:szCs w:val="24"/>
          <w:lang w:eastAsia="en-US"/>
        </w:rPr>
        <w:t xml:space="preserve"> quantia</w:t>
      </w:r>
      <w:r w:rsidRPr="00015B64">
        <w:rPr>
          <w:sz w:val="24"/>
          <w:szCs w:val="24"/>
          <w:lang w:eastAsia="en-US"/>
        </w:rPr>
        <w:t>s</w:t>
      </w:r>
      <w:r w:rsidRPr="005F1AA8">
        <w:rPr>
          <w:sz w:val="24"/>
          <w:szCs w:val="24"/>
          <w:lang w:eastAsia="en-US"/>
        </w:rPr>
        <w:t xml:space="preserve"> </w:t>
      </w:r>
      <w:r w:rsidRPr="005F1AA8">
        <w:rPr>
          <w:sz w:val="24"/>
          <w:szCs w:val="24"/>
        </w:rPr>
        <w:t>a seguir especificadas</w:t>
      </w:r>
      <w:r w:rsidRPr="005F1AA8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com a fixação do</w:t>
      </w:r>
      <w:r w:rsidRPr="005F1AA8">
        <w:rPr>
          <w:sz w:val="24"/>
          <w:szCs w:val="24"/>
          <w:lang w:eastAsia="en-US"/>
        </w:rPr>
        <w:t xml:space="preserve"> prazo de quinze dias, a contar da</w:t>
      </w:r>
      <w:r w:rsidRPr="00015B64">
        <w:rPr>
          <w:sz w:val="24"/>
          <w:szCs w:val="24"/>
          <w:lang w:eastAsia="en-US"/>
        </w:rPr>
        <w:t>s notificações</w:t>
      </w:r>
      <w:r w:rsidRPr="005F1AA8">
        <w:rPr>
          <w:sz w:val="24"/>
          <w:szCs w:val="24"/>
          <w:lang w:eastAsia="en-US"/>
        </w:rPr>
        <w:t xml:space="preserve">, </w:t>
      </w:r>
      <w:r w:rsidRPr="00015B64">
        <w:rPr>
          <w:sz w:val="24"/>
          <w:szCs w:val="24"/>
          <w:lang w:eastAsia="en-US"/>
        </w:rPr>
        <w:t>para comprovarem, perante o Tribunal (art. 214, inciso III, alínea “a”, do Regimento Interno),</w:t>
      </w:r>
      <w:r w:rsidRPr="005F1AA8">
        <w:rPr>
          <w:sz w:val="24"/>
          <w:szCs w:val="24"/>
          <w:lang w:eastAsia="en-US"/>
        </w:rPr>
        <w:t xml:space="preserve"> o recolhimento </w:t>
      </w:r>
      <w:r w:rsidRPr="00015B64">
        <w:rPr>
          <w:sz w:val="24"/>
          <w:szCs w:val="24"/>
          <w:lang w:eastAsia="en-US"/>
        </w:rPr>
        <w:t>das dívidas</w:t>
      </w:r>
      <w:r w:rsidRPr="005F1AA8">
        <w:rPr>
          <w:sz w:val="24"/>
          <w:szCs w:val="24"/>
          <w:lang w:eastAsia="en-US"/>
        </w:rPr>
        <w:t xml:space="preserve"> aos cofres </w:t>
      </w:r>
      <w:r>
        <w:rPr>
          <w:sz w:val="24"/>
          <w:szCs w:val="24"/>
          <w:lang w:eastAsia="en-US"/>
        </w:rPr>
        <w:t>da Fundação Nacional de Saúde</w:t>
      </w:r>
      <w:r w:rsidRPr="005F1AA8">
        <w:rPr>
          <w:sz w:val="24"/>
          <w:szCs w:val="24"/>
          <w:lang w:eastAsia="en-US"/>
        </w:rPr>
        <w:t xml:space="preserve">, </w:t>
      </w:r>
      <w:r w:rsidRPr="00015B64">
        <w:rPr>
          <w:sz w:val="24"/>
          <w:szCs w:val="24"/>
          <w:lang w:eastAsia="en-US"/>
        </w:rPr>
        <w:t xml:space="preserve">atualizadas monetariamente e acrescidas dos juros de mora, calculados a </w:t>
      </w:r>
      <w:r w:rsidRPr="00015B64">
        <w:rPr>
          <w:sz w:val="24"/>
          <w:szCs w:val="24"/>
        </w:rPr>
        <w:t>partir das datas discriminadas</w:t>
      </w:r>
      <w:r w:rsidRPr="00015B64">
        <w:rPr>
          <w:sz w:val="24"/>
          <w:szCs w:val="24"/>
          <w:lang w:eastAsia="en-US"/>
        </w:rPr>
        <w:t>, até a data do(s) recolhimento(s), na forma prevista na legislação em vigor</w:t>
      </w:r>
      <w:r>
        <w:rPr>
          <w:sz w:val="24"/>
          <w:szCs w:val="24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3527"/>
      </w:tblGrid>
      <w:tr w:rsidR="00C12E6E" w:rsidRPr="003751A4" w:rsidTr="00676FE2">
        <w:trPr>
          <w:jc w:val="center"/>
        </w:trPr>
        <w:tc>
          <w:tcPr>
            <w:tcW w:w="3703" w:type="dxa"/>
            <w:shd w:val="clear" w:color="auto" w:fill="F2F2F2"/>
          </w:tcPr>
          <w:p w:rsidR="00C12E6E" w:rsidRPr="001F25FE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1F25FE">
              <w:rPr>
                <w:sz w:val="24"/>
                <w:szCs w:val="24"/>
              </w:rPr>
              <w:t>VALOR ORIGINAL</w:t>
            </w:r>
            <w:r>
              <w:rPr>
                <w:sz w:val="24"/>
                <w:szCs w:val="24"/>
              </w:rPr>
              <w:t xml:space="preserve"> (R$</w:t>
            </w:r>
            <w:r w:rsidRPr="001F25FE">
              <w:rPr>
                <w:sz w:val="24"/>
                <w:szCs w:val="24"/>
              </w:rPr>
              <w:t>)</w:t>
            </w:r>
          </w:p>
        </w:tc>
        <w:tc>
          <w:tcPr>
            <w:tcW w:w="3527" w:type="dxa"/>
            <w:shd w:val="clear" w:color="auto" w:fill="F2F2F2"/>
          </w:tcPr>
          <w:p w:rsidR="00C12E6E" w:rsidRPr="001F25FE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1F25FE">
              <w:rPr>
                <w:sz w:val="24"/>
                <w:szCs w:val="24"/>
              </w:rPr>
              <w:t>DATA DA OCORRÊNCIA</w:t>
            </w:r>
          </w:p>
        </w:tc>
      </w:tr>
      <w:tr w:rsidR="00C12E6E" w:rsidRPr="005F1AA8" w:rsidTr="00676FE2">
        <w:trPr>
          <w:jc w:val="center"/>
        </w:trPr>
        <w:tc>
          <w:tcPr>
            <w:tcW w:w="3703" w:type="dxa"/>
          </w:tcPr>
          <w:p w:rsidR="00C12E6E" w:rsidRPr="0046309A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R$ 48.731,20</w:t>
            </w:r>
          </w:p>
        </w:tc>
        <w:tc>
          <w:tcPr>
            <w:tcW w:w="3527" w:type="dxa"/>
          </w:tcPr>
          <w:p w:rsidR="00C12E6E" w:rsidRPr="0046309A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21/5/2007</w:t>
            </w:r>
          </w:p>
        </w:tc>
      </w:tr>
      <w:tr w:rsidR="00C12E6E" w:rsidRPr="005F1AA8" w:rsidTr="00676FE2">
        <w:trPr>
          <w:jc w:val="center"/>
        </w:trPr>
        <w:tc>
          <w:tcPr>
            <w:tcW w:w="3703" w:type="dxa"/>
            <w:shd w:val="clear" w:color="auto" w:fill="FFFFFF" w:themeFill="background1"/>
          </w:tcPr>
          <w:p w:rsidR="00C12E6E" w:rsidRPr="0046309A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R$ 17.850,00</w:t>
            </w:r>
          </w:p>
        </w:tc>
        <w:tc>
          <w:tcPr>
            <w:tcW w:w="3527" w:type="dxa"/>
            <w:shd w:val="clear" w:color="auto" w:fill="FFFFFF" w:themeFill="background1"/>
          </w:tcPr>
          <w:p w:rsidR="00C12E6E" w:rsidRPr="0046309A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26/3/2007</w:t>
            </w:r>
          </w:p>
        </w:tc>
      </w:tr>
      <w:tr w:rsidR="00C12E6E" w:rsidRPr="005F1AA8" w:rsidTr="00676FE2">
        <w:trPr>
          <w:jc w:val="center"/>
        </w:trPr>
        <w:tc>
          <w:tcPr>
            <w:tcW w:w="3703" w:type="dxa"/>
          </w:tcPr>
          <w:p w:rsidR="00C12E6E" w:rsidRPr="0046309A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R$ 29.238,72</w:t>
            </w:r>
          </w:p>
        </w:tc>
        <w:tc>
          <w:tcPr>
            <w:tcW w:w="3527" w:type="dxa"/>
          </w:tcPr>
          <w:p w:rsidR="00C12E6E" w:rsidRPr="0046309A" w:rsidRDefault="00C12E6E" w:rsidP="00676FE2">
            <w:pPr>
              <w:pStyle w:val="Corpodetexto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13/3/2007</w:t>
            </w:r>
          </w:p>
        </w:tc>
      </w:tr>
    </w:tbl>
    <w:p w:rsidR="00C12E6E" w:rsidRDefault="00C12E6E" w:rsidP="00C12E6E">
      <w:pPr>
        <w:autoSpaceDE w:val="0"/>
        <w:autoSpaceDN w:val="0"/>
        <w:adjustRightInd w:val="0"/>
        <w:spacing w:before="120"/>
        <w:ind w:firstLine="1134"/>
        <w:jc w:val="both"/>
        <w:rPr>
          <w:sz w:val="24"/>
          <w:szCs w:val="24"/>
          <w:lang w:eastAsia="en-US"/>
        </w:rPr>
      </w:pPr>
      <w:r w:rsidRPr="0095591A">
        <w:rPr>
          <w:sz w:val="24"/>
          <w:szCs w:val="24"/>
          <w:lang w:eastAsia="en-US"/>
        </w:rPr>
        <w:t xml:space="preserve">c) </w:t>
      </w:r>
      <w:r>
        <w:rPr>
          <w:sz w:val="24"/>
          <w:szCs w:val="24"/>
          <w:lang w:eastAsia="en-US"/>
        </w:rPr>
        <w:t>aplicar a</w:t>
      </w:r>
      <w:r w:rsidRPr="00EE65CE">
        <w:rPr>
          <w:sz w:val="24"/>
          <w:szCs w:val="24"/>
          <w:lang w:eastAsia="en-US"/>
        </w:rPr>
        <w:t xml:space="preserve"> </w:t>
      </w:r>
      <w:r w:rsidRPr="00A428FE">
        <w:rPr>
          <w:rFonts w:eastAsiaTheme="minorHAnsi"/>
          <w:sz w:val="24"/>
          <w:szCs w:val="24"/>
          <w:lang w:eastAsia="en-US"/>
        </w:rPr>
        <w:t>Antônia Linhares Fernandes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eastAsia="en-US"/>
        </w:rPr>
        <w:t>Edvan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Pereira de Oliveira Júnior, </w:t>
      </w:r>
      <w:r w:rsidRPr="00A428FE">
        <w:rPr>
          <w:rFonts w:eastAsiaTheme="minorHAnsi"/>
          <w:sz w:val="24"/>
          <w:szCs w:val="24"/>
          <w:lang w:eastAsia="en-US"/>
        </w:rPr>
        <w:t>José Roberto Marcelino Pereira,</w:t>
      </w:r>
      <w:r>
        <w:rPr>
          <w:rFonts w:eastAsiaTheme="minorHAnsi"/>
          <w:sz w:val="24"/>
          <w:szCs w:val="24"/>
          <w:lang w:eastAsia="en-US"/>
        </w:rPr>
        <w:t xml:space="preserve"> Saulo José de Lima, José </w:t>
      </w:r>
      <w:proofErr w:type="spellStart"/>
      <w:r>
        <w:rPr>
          <w:rFonts w:eastAsiaTheme="minorHAnsi"/>
          <w:sz w:val="24"/>
          <w:szCs w:val="24"/>
          <w:lang w:eastAsia="en-US"/>
        </w:rPr>
        <w:t>Altemir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Dantas, Francisco Canindé da Silva Dantas </w:t>
      </w:r>
      <w:r>
        <w:rPr>
          <w:sz w:val="24"/>
          <w:szCs w:val="24"/>
        </w:rPr>
        <w:t xml:space="preserve">e </w:t>
      </w:r>
      <w:r w:rsidRPr="00A428FE">
        <w:rPr>
          <w:rFonts w:eastAsiaTheme="minorHAnsi"/>
          <w:sz w:val="24"/>
          <w:szCs w:val="24"/>
          <w:lang w:eastAsia="en-US"/>
        </w:rPr>
        <w:t xml:space="preserve">S. J. L Construções e Serviços </w:t>
      </w:r>
      <w:proofErr w:type="spellStart"/>
      <w:r w:rsidRPr="00A428FE">
        <w:rPr>
          <w:rFonts w:eastAsiaTheme="minorHAnsi"/>
          <w:sz w:val="24"/>
          <w:szCs w:val="24"/>
          <w:lang w:eastAsia="en-US"/>
        </w:rPr>
        <w:t>Ltda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 xml:space="preserve"> </w:t>
      </w:r>
      <w:r w:rsidRPr="00121A48">
        <w:rPr>
          <w:sz w:val="24"/>
          <w:szCs w:val="24"/>
        </w:rPr>
        <w:t>individualmente</w:t>
      </w:r>
      <w:r w:rsidRPr="00676FE2">
        <w:rPr>
          <w:sz w:val="24"/>
          <w:szCs w:val="24"/>
        </w:rPr>
        <w:t>,</w:t>
      </w:r>
      <w:r w:rsidRPr="00121A48">
        <w:rPr>
          <w:sz w:val="24"/>
          <w:szCs w:val="24"/>
        </w:rPr>
        <w:t xml:space="preserve"> </w:t>
      </w:r>
      <w:r w:rsidRPr="005F1AA8">
        <w:rPr>
          <w:sz w:val="24"/>
          <w:szCs w:val="24"/>
          <w:lang w:eastAsia="en-US"/>
        </w:rPr>
        <w:t xml:space="preserve">a </w:t>
      </w:r>
      <w:r w:rsidRPr="00EE65CE">
        <w:rPr>
          <w:sz w:val="24"/>
          <w:szCs w:val="24"/>
          <w:lang w:eastAsia="en-US"/>
        </w:rPr>
        <w:t>multa</w:t>
      </w:r>
      <w:r w:rsidRPr="005F1AA8">
        <w:rPr>
          <w:sz w:val="24"/>
          <w:szCs w:val="24"/>
          <w:lang w:eastAsia="en-US"/>
        </w:rPr>
        <w:t xml:space="preserve"> prevista no art. 57 da Lei </w:t>
      </w:r>
      <w:r>
        <w:rPr>
          <w:sz w:val="24"/>
          <w:szCs w:val="24"/>
          <w:lang w:eastAsia="en-US"/>
        </w:rPr>
        <w:t>8.443/1992</w:t>
      </w:r>
      <w:r w:rsidRPr="005F1AA8">
        <w:rPr>
          <w:sz w:val="24"/>
          <w:szCs w:val="24"/>
          <w:lang w:eastAsia="en-US"/>
        </w:rPr>
        <w:t xml:space="preserve"> c/c o art. 267 do Regimento Interno, com a fixação do prazo de quinze dias, a contar </w:t>
      </w:r>
      <w:r w:rsidRPr="00EE65CE">
        <w:rPr>
          <w:sz w:val="24"/>
          <w:szCs w:val="24"/>
          <w:lang w:eastAsia="en-US"/>
        </w:rPr>
        <w:t>das notificações, para comprovarem, perante o Tribunal (art. 214, inciso III, alínea “a”, do Regimento Interno), o recolhimento das dívidas ao</w:t>
      </w:r>
      <w:r>
        <w:rPr>
          <w:sz w:val="24"/>
          <w:szCs w:val="24"/>
          <w:lang w:eastAsia="en-US"/>
        </w:rPr>
        <w:t>s cofres do</w:t>
      </w:r>
      <w:r w:rsidRPr="00EE65CE">
        <w:rPr>
          <w:sz w:val="24"/>
          <w:szCs w:val="24"/>
          <w:lang w:eastAsia="en-US"/>
        </w:rPr>
        <w:t xml:space="preserve"> Tesouro Nacional, </w:t>
      </w:r>
      <w:r w:rsidRPr="00EE65CE">
        <w:rPr>
          <w:bCs/>
          <w:sz w:val="24"/>
          <w:szCs w:val="24"/>
          <w:lang w:eastAsia="en-US"/>
        </w:rPr>
        <w:t xml:space="preserve">atualizadas monetariamente desde a data do </w:t>
      </w:r>
      <w:r>
        <w:rPr>
          <w:bCs/>
          <w:sz w:val="24"/>
          <w:szCs w:val="24"/>
          <w:lang w:eastAsia="en-US"/>
        </w:rPr>
        <w:t>a</w:t>
      </w:r>
      <w:r w:rsidRPr="00EE65CE">
        <w:rPr>
          <w:bCs/>
          <w:sz w:val="24"/>
          <w:szCs w:val="24"/>
          <w:lang w:eastAsia="en-US"/>
        </w:rPr>
        <w:t>córdão que vier a ser proferido até a dos efetivos recolhimentos, se forem pagas após o vencimento, na forma da legislação em vigor</w:t>
      </w:r>
      <w:r w:rsidRPr="005F1AA8">
        <w:rPr>
          <w:sz w:val="24"/>
          <w:szCs w:val="24"/>
          <w:lang w:eastAsia="en-US"/>
        </w:rPr>
        <w:t>;</w:t>
      </w:r>
    </w:p>
    <w:p w:rsidR="00C12E6E" w:rsidRDefault="00C12E6E" w:rsidP="00C12E6E">
      <w:pPr>
        <w:autoSpaceDE w:val="0"/>
        <w:autoSpaceDN w:val="0"/>
        <w:adjustRightInd w:val="0"/>
        <w:spacing w:before="120"/>
        <w:ind w:firstLine="113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d</w:t>
      </w:r>
      <w:r>
        <w:rPr>
          <w:bCs/>
          <w:sz w:val="24"/>
          <w:szCs w:val="24"/>
          <w:lang w:eastAsia="en-US"/>
        </w:rPr>
        <w:t xml:space="preserve">) declarar a empresa </w:t>
      </w:r>
      <w:r>
        <w:rPr>
          <w:sz w:val="24"/>
          <w:szCs w:val="24"/>
        </w:rPr>
        <w:t>S.J.L Construções e Serviços Ltda.</w:t>
      </w:r>
      <w:r w:rsidRPr="000D4428">
        <w:rPr>
          <w:sz w:val="24"/>
          <w:szCs w:val="24"/>
        </w:rPr>
        <w:t xml:space="preserve"> (</w:t>
      </w:r>
      <w:r>
        <w:rPr>
          <w:rFonts w:eastAsiaTheme="minorHAnsi"/>
          <w:sz w:val="24"/>
          <w:szCs w:val="24"/>
          <w:lang w:eastAsia="en-US"/>
        </w:rPr>
        <w:t>CNPJ 04.966.148/0001-36</w:t>
      </w:r>
      <w:r w:rsidRPr="000D4428">
        <w:rPr>
          <w:sz w:val="24"/>
          <w:szCs w:val="24"/>
        </w:rPr>
        <w:t>)</w:t>
      </w:r>
      <w:r>
        <w:rPr>
          <w:sz w:val="24"/>
          <w:szCs w:val="24"/>
        </w:rPr>
        <w:t xml:space="preserve"> inidônea para participar de licitação a Administração Pública Federa</w:t>
      </w:r>
      <w:r w:rsidR="00E82F67">
        <w:rPr>
          <w:sz w:val="24"/>
          <w:szCs w:val="24"/>
        </w:rPr>
        <w:t>l</w:t>
      </w:r>
      <w:bookmarkStart w:id="0" w:name="_GoBack"/>
      <w:bookmarkEnd w:id="0"/>
      <w:r>
        <w:rPr>
          <w:sz w:val="24"/>
          <w:szCs w:val="24"/>
        </w:rPr>
        <w:t>, nos termos do art. 46 da Lei 8.443/1992;</w:t>
      </w:r>
    </w:p>
    <w:p w:rsidR="00C12E6E" w:rsidRPr="00121A48" w:rsidRDefault="00C12E6E" w:rsidP="00C12E6E">
      <w:pPr>
        <w:autoSpaceDE w:val="0"/>
        <w:autoSpaceDN w:val="0"/>
        <w:adjustRightInd w:val="0"/>
        <w:spacing w:before="120"/>
        <w:ind w:firstLine="1134"/>
        <w:jc w:val="both"/>
        <w:rPr>
          <w:sz w:val="24"/>
          <w:szCs w:val="24"/>
          <w:lang w:eastAsia="en-US"/>
        </w:rPr>
      </w:pPr>
      <w:r w:rsidRPr="00121A48">
        <w:rPr>
          <w:sz w:val="24"/>
          <w:szCs w:val="24"/>
          <w:lang w:eastAsia="en-US"/>
        </w:rPr>
        <w:t>e</w:t>
      </w:r>
      <w:r w:rsidRPr="00676FE2">
        <w:rPr>
          <w:sz w:val="24"/>
          <w:szCs w:val="24"/>
          <w:lang w:eastAsia="en-US"/>
        </w:rPr>
        <w:t>)</w:t>
      </w:r>
      <w:r w:rsidRPr="00121A48">
        <w:rPr>
          <w:sz w:val="24"/>
          <w:szCs w:val="24"/>
          <w:lang w:eastAsia="en-US"/>
        </w:rPr>
        <w:t xml:space="preserve"> autorizar, desde logo, nos termos do art. 28, inciso II, da Lei 8.443/1992, a cobrança judicial das, dívida caso não atendidas as notificações;</w:t>
      </w:r>
    </w:p>
    <w:p w:rsidR="00C12E6E" w:rsidRDefault="00C12E6E" w:rsidP="00C12E6E">
      <w:pPr>
        <w:autoSpaceDE w:val="0"/>
        <w:autoSpaceDN w:val="0"/>
        <w:adjustRightInd w:val="0"/>
        <w:spacing w:before="120"/>
        <w:ind w:firstLine="1134"/>
        <w:jc w:val="both"/>
        <w:rPr>
          <w:sz w:val="24"/>
          <w:szCs w:val="24"/>
          <w:lang w:eastAsia="en-US"/>
        </w:rPr>
      </w:pPr>
      <w:r w:rsidRPr="00121A48">
        <w:rPr>
          <w:sz w:val="24"/>
          <w:szCs w:val="24"/>
        </w:rPr>
        <w:tab/>
        <w:t>f</w:t>
      </w:r>
      <w:r w:rsidRPr="00676FE2">
        <w:rPr>
          <w:sz w:val="24"/>
          <w:szCs w:val="24"/>
        </w:rPr>
        <w:t>)</w:t>
      </w:r>
      <w:r w:rsidRPr="00121A48">
        <w:rPr>
          <w:sz w:val="24"/>
          <w:szCs w:val="24"/>
        </w:rPr>
        <w:t xml:space="preserve"> autorizar </w:t>
      </w:r>
      <w:r w:rsidRPr="0004773C">
        <w:rPr>
          <w:sz w:val="24"/>
          <w:szCs w:val="24"/>
        </w:rPr>
        <w:t>o pagamento da</w:t>
      </w:r>
      <w:r>
        <w:rPr>
          <w:sz w:val="24"/>
          <w:szCs w:val="24"/>
        </w:rPr>
        <w:t>s</w:t>
      </w:r>
      <w:r w:rsidRPr="0004773C">
        <w:rPr>
          <w:sz w:val="24"/>
          <w:szCs w:val="24"/>
        </w:rPr>
        <w:t xml:space="preserve"> dívida</w:t>
      </w:r>
      <w:r>
        <w:rPr>
          <w:sz w:val="24"/>
          <w:szCs w:val="24"/>
        </w:rPr>
        <w:t>s</w:t>
      </w:r>
      <w:r w:rsidRPr="0004773C">
        <w:rPr>
          <w:sz w:val="24"/>
          <w:szCs w:val="24"/>
        </w:rPr>
        <w:t xml:space="preserve"> em </w:t>
      </w:r>
      <w:r>
        <w:rPr>
          <w:sz w:val="24"/>
          <w:szCs w:val="24"/>
        </w:rPr>
        <w:t xml:space="preserve">até 36 (trinta e seis) </w:t>
      </w:r>
      <w:r w:rsidRPr="0004773C">
        <w:rPr>
          <w:sz w:val="24"/>
          <w:szCs w:val="24"/>
        </w:rPr>
        <w:t>parcelas mensais e consecutivas, nos termos do art. 217 do</w:t>
      </w:r>
      <w:r>
        <w:rPr>
          <w:sz w:val="24"/>
          <w:szCs w:val="24"/>
        </w:rPr>
        <w:t xml:space="preserve"> </w:t>
      </w:r>
      <w:r w:rsidRPr="0004773C">
        <w:rPr>
          <w:sz w:val="24"/>
          <w:szCs w:val="24"/>
        </w:rPr>
        <w:t xml:space="preserve">Regimento Interno, </w:t>
      </w:r>
      <w:r>
        <w:rPr>
          <w:sz w:val="24"/>
          <w:szCs w:val="24"/>
        </w:rPr>
        <w:t xml:space="preserve">caso solicitado pelos responsáveis, </w:t>
      </w:r>
      <w:r w:rsidRPr="000E4F5E">
        <w:rPr>
          <w:sz w:val="24"/>
          <w:szCs w:val="24"/>
        </w:rPr>
        <w:t>fixando-lhes o prazo de quinze dias, a contar do recebimento da notificação, para comprovarem perante o Tribunal o recolhimento da primeira parcela, e de trinta dias, a contar da parcela anterior, para comprovarem os recolhimentos</w:t>
      </w:r>
      <w:r w:rsidRPr="0004773C">
        <w:rPr>
          <w:sz w:val="24"/>
          <w:szCs w:val="24"/>
        </w:rPr>
        <w:t xml:space="preserve"> das demais parcelas, devendo</w:t>
      </w:r>
      <w:r>
        <w:rPr>
          <w:sz w:val="24"/>
          <w:szCs w:val="24"/>
        </w:rPr>
        <w:t xml:space="preserve"> </w:t>
      </w:r>
      <w:r w:rsidRPr="0004773C">
        <w:rPr>
          <w:sz w:val="24"/>
          <w:szCs w:val="24"/>
        </w:rPr>
        <w:t>incidir sobre cada valor mensal, atualizado monetariamente, os juros de mora devidos, na forma</w:t>
      </w:r>
      <w:r>
        <w:rPr>
          <w:sz w:val="24"/>
          <w:szCs w:val="24"/>
        </w:rPr>
        <w:t xml:space="preserve"> </w:t>
      </w:r>
      <w:r w:rsidRPr="0004773C">
        <w:rPr>
          <w:sz w:val="24"/>
          <w:szCs w:val="24"/>
        </w:rPr>
        <w:t>prevista na legislação em vigor;</w:t>
      </w:r>
    </w:p>
    <w:p w:rsidR="00C12E6E" w:rsidRDefault="00C12E6E" w:rsidP="00C12E6E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5861EB">
        <w:rPr>
          <w:color w:val="000000"/>
          <w:sz w:val="24"/>
          <w:szCs w:val="24"/>
        </w:rPr>
        <w:t>alertar os responsáveis de que a falta de comprovação do recolhimento de qualquer parcela importará o vencimento antecipado do saldo devedor, nos termos do § 2º do art. 217 do Regimento Interno deste Tribunal;</w:t>
      </w:r>
    </w:p>
    <w:p w:rsidR="00C12E6E" w:rsidRDefault="00C12E6E" w:rsidP="00C12E6E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365C4">
        <w:rPr>
          <w:sz w:val="24"/>
          <w:szCs w:val="24"/>
        </w:rPr>
        <w:t>h)</w:t>
      </w:r>
      <w:r w:rsidRPr="003B5C93">
        <w:rPr>
          <w:sz w:val="24"/>
          <w:szCs w:val="24"/>
        </w:rPr>
        <w:t xml:space="preserve"> </w:t>
      </w:r>
      <w:r w:rsidRPr="00121A48">
        <w:rPr>
          <w:bCs/>
          <w:sz w:val="24"/>
          <w:szCs w:val="24"/>
        </w:rPr>
        <w:t>considerar graves as infrações cometidas p</w:t>
      </w:r>
      <w:r>
        <w:rPr>
          <w:bCs/>
          <w:sz w:val="24"/>
          <w:szCs w:val="24"/>
        </w:rPr>
        <w:t>or</w:t>
      </w:r>
      <w:r w:rsidRPr="00121A48">
        <w:rPr>
          <w:bCs/>
          <w:sz w:val="24"/>
          <w:szCs w:val="24"/>
        </w:rPr>
        <w:t xml:space="preserve"> </w:t>
      </w:r>
      <w:r w:rsidRPr="00A428FE">
        <w:rPr>
          <w:rFonts w:eastAsiaTheme="minorHAnsi"/>
          <w:sz w:val="24"/>
          <w:szCs w:val="24"/>
          <w:lang w:eastAsia="en-US"/>
        </w:rPr>
        <w:t>Antônia Linhares Fernandes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eastAsia="en-US"/>
        </w:rPr>
        <w:t>Edvan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Pereira de Oliveira Júnior, </w:t>
      </w:r>
      <w:r w:rsidRPr="00A428FE">
        <w:rPr>
          <w:rFonts w:eastAsiaTheme="minorHAnsi"/>
          <w:sz w:val="24"/>
          <w:szCs w:val="24"/>
          <w:lang w:eastAsia="en-US"/>
        </w:rPr>
        <w:t>José Roberto Marcelino Pereira,</w:t>
      </w:r>
      <w:r>
        <w:rPr>
          <w:rFonts w:eastAsiaTheme="minorHAnsi"/>
          <w:sz w:val="24"/>
          <w:szCs w:val="24"/>
          <w:lang w:eastAsia="en-US"/>
        </w:rPr>
        <w:t xml:space="preserve"> Saulo José de Lima, José </w:t>
      </w:r>
      <w:proofErr w:type="spellStart"/>
      <w:r>
        <w:rPr>
          <w:rFonts w:eastAsiaTheme="minorHAnsi"/>
          <w:sz w:val="24"/>
          <w:szCs w:val="24"/>
          <w:lang w:eastAsia="en-US"/>
        </w:rPr>
        <w:t>Altemir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Dantas e Francisco Canindé da Silva Dantas</w:t>
      </w:r>
      <w:r w:rsidRPr="00121A48">
        <w:rPr>
          <w:bCs/>
          <w:sz w:val="24"/>
          <w:szCs w:val="24"/>
        </w:rPr>
        <w:t xml:space="preserve"> e os inabilitar para o exercício de cargo em comissão ou função de confiança no âmbito da Administração Pública, nos termos do art. 60 da Lei 8.443/1992;</w:t>
      </w:r>
    </w:p>
    <w:p w:rsidR="00C12E6E" w:rsidRDefault="00C12E6E" w:rsidP="00C12E6E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i) encaminhar</w:t>
      </w:r>
      <w:r w:rsidRPr="003B5C93">
        <w:rPr>
          <w:sz w:val="24"/>
          <w:szCs w:val="24"/>
        </w:rPr>
        <w:t xml:space="preserve"> cópia d</w:t>
      </w:r>
      <w:r>
        <w:rPr>
          <w:sz w:val="24"/>
          <w:szCs w:val="24"/>
        </w:rPr>
        <w:t>a deliberação que vier a ser proferida, bem como</w:t>
      </w:r>
      <w:r w:rsidRPr="003B5C93">
        <w:rPr>
          <w:sz w:val="24"/>
          <w:szCs w:val="24"/>
        </w:rPr>
        <w:t xml:space="preserve"> do relatório e</w:t>
      </w:r>
      <w:r>
        <w:rPr>
          <w:sz w:val="24"/>
          <w:szCs w:val="24"/>
        </w:rPr>
        <w:t xml:space="preserve"> do </w:t>
      </w:r>
      <w:r w:rsidRPr="003B5C93">
        <w:rPr>
          <w:sz w:val="24"/>
          <w:szCs w:val="24"/>
        </w:rPr>
        <w:t xml:space="preserve">voto que </w:t>
      </w:r>
      <w:r>
        <w:rPr>
          <w:sz w:val="24"/>
          <w:szCs w:val="24"/>
        </w:rPr>
        <w:t>a</w:t>
      </w:r>
      <w:r w:rsidRPr="003B5C93">
        <w:rPr>
          <w:sz w:val="24"/>
          <w:szCs w:val="24"/>
        </w:rPr>
        <w:t xml:space="preserve"> fundamen</w:t>
      </w:r>
      <w:r>
        <w:rPr>
          <w:sz w:val="24"/>
          <w:szCs w:val="24"/>
        </w:rPr>
        <w:t>tarem</w:t>
      </w:r>
      <w:r w:rsidRPr="003B5C93">
        <w:rPr>
          <w:sz w:val="24"/>
          <w:szCs w:val="24"/>
        </w:rPr>
        <w:t xml:space="preserve">, </w:t>
      </w:r>
      <w:r w:rsidRPr="00453E6A">
        <w:rPr>
          <w:sz w:val="24"/>
          <w:szCs w:val="24"/>
        </w:rPr>
        <w:t xml:space="preserve">ao Procurador-Chefe da Procuradoria da República </w:t>
      </w:r>
      <w:r>
        <w:rPr>
          <w:sz w:val="24"/>
          <w:szCs w:val="24"/>
        </w:rPr>
        <w:t>na Paraíba</w:t>
      </w:r>
      <w:r w:rsidRPr="003B5C93">
        <w:rPr>
          <w:sz w:val="24"/>
          <w:szCs w:val="24"/>
        </w:rPr>
        <w:t>, nos termos do § 3º do art. 16 da Lei 8.443</w:t>
      </w:r>
      <w:r>
        <w:rPr>
          <w:sz w:val="24"/>
          <w:szCs w:val="24"/>
        </w:rPr>
        <w:t>/1992</w:t>
      </w:r>
      <w:r w:rsidRPr="003B5C93">
        <w:rPr>
          <w:sz w:val="24"/>
          <w:szCs w:val="24"/>
        </w:rPr>
        <w:t xml:space="preserve"> c/</w:t>
      </w:r>
      <w:proofErr w:type="gramStart"/>
      <w:r w:rsidRPr="003B5C93">
        <w:rPr>
          <w:sz w:val="24"/>
          <w:szCs w:val="24"/>
        </w:rPr>
        <w:t>c</w:t>
      </w:r>
      <w:proofErr w:type="gramEnd"/>
      <w:r w:rsidRPr="003B5C93">
        <w:rPr>
          <w:sz w:val="24"/>
          <w:szCs w:val="24"/>
        </w:rPr>
        <w:t xml:space="preserve"> o § </w:t>
      </w:r>
      <w:r>
        <w:rPr>
          <w:sz w:val="24"/>
          <w:szCs w:val="24"/>
        </w:rPr>
        <w:t>7</w:t>
      </w:r>
      <w:r w:rsidRPr="003B5C93">
        <w:rPr>
          <w:sz w:val="24"/>
          <w:szCs w:val="24"/>
        </w:rPr>
        <w:t>º do art. 209 do Regimento Interno</w:t>
      </w:r>
      <w:r>
        <w:rPr>
          <w:sz w:val="24"/>
          <w:szCs w:val="24"/>
        </w:rPr>
        <w:t xml:space="preserve"> do TCU</w:t>
      </w:r>
      <w:r w:rsidRPr="003B5C93">
        <w:rPr>
          <w:sz w:val="24"/>
          <w:szCs w:val="24"/>
        </w:rPr>
        <w:t xml:space="preserve">, para </w:t>
      </w:r>
      <w:r>
        <w:rPr>
          <w:sz w:val="24"/>
          <w:szCs w:val="24"/>
        </w:rPr>
        <w:t>adoção das medidas que entender</w:t>
      </w:r>
      <w:r w:rsidRPr="003B5C93">
        <w:rPr>
          <w:sz w:val="24"/>
          <w:szCs w:val="24"/>
        </w:rPr>
        <w:t xml:space="preserve"> cabíveis.</w:t>
      </w:r>
    </w:p>
    <w:p w:rsidR="00C12E6E" w:rsidRDefault="00C12E6E" w:rsidP="00C12E6E">
      <w:pPr>
        <w:pStyle w:val="Ttulo5"/>
        <w:keepNext w:val="0"/>
        <w:widowControl w:val="0"/>
        <w:spacing w:before="120"/>
        <w:ind w:left="5103"/>
        <w:rPr>
          <w:rFonts w:ascii="Times New Roman" w:hAnsi="Times New Roman"/>
          <w:b w:val="0"/>
          <w:color w:val="FF0000"/>
          <w:szCs w:val="24"/>
        </w:rPr>
      </w:pPr>
      <w:r>
        <w:rPr>
          <w:rFonts w:ascii="Times New Roman" w:hAnsi="Times New Roman"/>
          <w:b w:val="0"/>
          <w:szCs w:val="24"/>
        </w:rPr>
        <w:t>SECEX-PB, em 10 de setembro de 2015.</w:t>
      </w:r>
    </w:p>
    <w:p w:rsidR="00C12E6E" w:rsidRDefault="00C12E6E" w:rsidP="00C12E6E">
      <w:pPr>
        <w:spacing w:before="120"/>
        <w:ind w:left="5103"/>
        <w:jc w:val="center"/>
        <w:rPr>
          <w:sz w:val="24"/>
          <w:szCs w:val="24"/>
        </w:rPr>
      </w:pPr>
    </w:p>
    <w:p w:rsidR="00C12E6E" w:rsidRDefault="00C12E6E" w:rsidP="00C12E6E">
      <w:pPr>
        <w:spacing w:before="120"/>
        <w:ind w:left="510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(Assinado eletronicamente)</w:t>
      </w:r>
    </w:p>
    <w:p w:rsidR="00C12E6E" w:rsidRDefault="00C12E6E" w:rsidP="00C12E6E">
      <w:pPr>
        <w:spacing w:before="12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RONILDO FERREIRA NUNES</w:t>
      </w:r>
    </w:p>
    <w:p w:rsidR="00C12E6E" w:rsidRDefault="00C12E6E" w:rsidP="00C12E6E">
      <w:pPr>
        <w:pStyle w:val="Ttulo5"/>
        <w:keepNext w:val="0"/>
        <w:widowControl w:val="0"/>
        <w:spacing w:before="120"/>
        <w:ind w:left="510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>AUFC – Mat. 2652-2</w:t>
      </w:r>
    </w:p>
    <w:p w:rsidR="003B497B" w:rsidRPr="003B497B" w:rsidRDefault="003B497B" w:rsidP="00C12E6E">
      <w:pPr>
        <w:widowControl w:val="0"/>
        <w:tabs>
          <w:tab w:val="left" w:pos="1134"/>
        </w:tabs>
        <w:spacing w:before="120"/>
        <w:jc w:val="both"/>
      </w:pPr>
    </w:p>
    <w:sectPr w:rsidR="003B497B" w:rsidRPr="003B497B" w:rsidSect="00664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71" w:right="567" w:bottom="850" w:left="1417" w:header="85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80" w:rsidRDefault="00A35680">
      <w:r>
        <w:separator/>
      </w:r>
    </w:p>
  </w:endnote>
  <w:endnote w:type="continuationSeparator" w:id="0">
    <w:p w:rsidR="00A35680" w:rsidRDefault="00A3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2C" w:rsidRDefault="00F154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52" w:rsidRPr="00CA77FD" w:rsidRDefault="001C1220" w:rsidP="00CA77FD">
    <w:pPr>
      <w:pStyle w:val="Rodap"/>
      <w:tabs>
        <w:tab w:val="clear" w:pos="8838"/>
        <w:tab w:val="right" w:pos="9781"/>
      </w:tabs>
      <w:rPr>
        <w:i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-20321</wp:posOffset>
              </wp:positionV>
              <wp:extent cx="6280150" cy="0"/>
              <wp:effectExtent l="0" t="0" r="254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0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F3D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65pt;margin-top:-1.6pt;width:494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"/>
          </w:pict>
        </mc:Fallback>
      </mc:AlternateContent>
    </w:r>
    <w:r w:rsidR="00796452">
      <w:rPr>
        <w:i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2C" w:rsidRDefault="00F154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80" w:rsidRDefault="00A35680">
      <w:r>
        <w:separator/>
      </w:r>
    </w:p>
  </w:footnote>
  <w:footnote w:type="continuationSeparator" w:id="0">
    <w:p w:rsidR="00A35680" w:rsidRDefault="00A3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2C" w:rsidRDefault="00F15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452" w:rsidRPr="00715781" w:rsidRDefault="001C1220" w:rsidP="007157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402590</wp:posOffset>
              </wp:positionV>
              <wp:extent cx="5622290" cy="68453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290" cy="684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452" w:rsidRPr="00FB0C8D" w:rsidRDefault="00EE5EB5" w:rsidP="007D55F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82F67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F1542C" w:rsidRDefault="00F1542C" w:rsidP="00F1542C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TRIBUNAL DE CONTAS DA UNIÃO</w:t>
                          </w:r>
                        </w:p>
                        <w:p w:rsidR="00F1542C" w:rsidRDefault="00F1542C" w:rsidP="00F1542C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Secretaria-Geral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Controle Externo</w:t>
                          </w:r>
                        </w:p>
                        <w:p w:rsidR="00796452" w:rsidRPr="00F1542C" w:rsidRDefault="00F1542C" w:rsidP="00F1542C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  <w:szCs w:val="18"/>
                            </w:rPr>
                            <w:t>Secretaria de Controle Externo no Estado da Paraíba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1pt;margin-top:31.7pt;width:442.7pt;height:53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" stroked="f">
              <v:textbox inset=",2.83pt">
                <w:txbxContent>
                  <w:p w:rsidR="00796452" w:rsidRPr="00FB0C8D" w:rsidRDefault="00EE5EB5" w:rsidP="007D55F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82F67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F1542C" w:rsidRDefault="00F1542C" w:rsidP="00F1542C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TRIBUNAL DE CONTAS DA UNIÃO</w:t>
                    </w:r>
                  </w:p>
                  <w:p w:rsidR="00F1542C" w:rsidRDefault="00F1542C" w:rsidP="00F1542C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Secretaria-Geral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Controle Externo</w:t>
                    </w:r>
                  </w:p>
                  <w:p w:rsidR="00796452" w:rsidRPr="00F1542C" w:rsidRDefault="00F1542C" w:rsidP="00F1542C">
                    <w:pPr>
                      <w:rPr>
                        <w:rFonts w:ascii="Arial" w:hAnsi="Arial" w:cs="Arial"/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  <w:szCs w:val="18"/>
                      </w:rPr>
                      <w:t>Secretaria de Controle Externo no Estado da Paraíba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575944</wp:posOffset>
              </wp:positionV>
              <wp:extent cx="6120130" cy="0"/>
              <wp:effectExtent l="0" t="0" r="3302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8453F" id="Lin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0M8QEAALMDAAAOAAAAZHJzL2Uyb0RvYy54bWysU02P2jAQvVfqf7B8hyQsU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0" t="0" r="9525" b="3810"/>
          <wp:wrapNone/>
          <wp:docPr id="3" name="Imagem 1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2C" w:rsidRDefault="00F154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3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5F7066E"/>
    <w:multiLevelType w:val="multilevel"/>
    <w:tmpl w:val="ADE0F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965A5E"/>
    <w:multiLevelType w:val="singleLevel"/>
    <w:tmpl w:val="0D82B8C4"/>
    <w:lvl w:ilvl="0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" w15:restartNumberingAfterBreak="0">
    <w:nsid w:val="09761560"/>
    <w:multiLevelType w:val="hybridMultilevel"/>
    <w:tmpl w:val="3B9C2F1E"/>
    <w:lvl w:ilvl="0" w:tplc="A0FA000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F072D7"/>
    <w:multiLevelType w:val="hybridMultilevel"/>
    <w:tmpl w:val="E73446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7AE"/>
    <w:multiLevelType w:val="multilevel"/>
    <w:tmpl w:val="CAFCADA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>
      <w:start w:val="5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6" w15:restartNumberingAfterBreak="0">
    <w:nsid w:val="148023F9"/>
    <w:multiLevelType w:val="multilevel"/>
    <w:tmpl w:val="5C163B4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DF290B"/>
    <w:multiLevelType w:val="singleLevel"/>
    <w:tmpl w:val="A79CB65E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8" w15:restartNumberingAfterBreak="0">
    <w:nsid w:val="43A95AE7"/>
    <w:multiLevelType w:val="singleLevel"/>
    <w:tmpl w:val="57048C7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</w:abstractNum>
  <w:abstractNum w:abstractNumId="9" w15:restartNumberingAfterBreak="0">
    <w:nsid w:val="446B101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F74FA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43356FF"/>
    <w:multiLevelType w:val="singleLevel"/>
    <w:tmpl w:val="9A1A52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2" w15:restartNumberingAfterBreak="0">
    <w:nsid w:val="792F4B80"/>
    <w:multiLevelType w:val="multilevel"/>
    <w:tmpl w:val="818EC2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FAA71C1"/>
    <w:multiLevelType w:val="singleLevel"/>
    <w:tmpl w:val="93662C60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13"/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F"/>
    <w:rsid w:val="00004EE2"/>
    <w:rsid w:val="00013182"/>
    <w:rsid w:val="000144AB"/>
    <w:rsid w:val="00015B64"/>
    <w:rsid w:val="00017760"/>
    <w:rsid w:val="00020916"/>
    <w:rsid w:val="00021E62"/>
    <w:rsid w:val="00024936"/>
    <w:rsid w:val="00025D41"/>
    <w:rsid w:val="00040476"/>
    <w:rsid w:val="0004576E"/>
    <w:rsid w:val="00045AAC"/>
    <w:rsid w:val="0004773C"/>
    <w:rsid w:val="00051021"/>
    <w:rsid w:val="00052318"/>
    <w:rsid w:val="00054D03"/>
    <w:rsid w:val="000557E2"/>
    <w:rsid w:val="0006198B"/>
    <w:rsid w:val="00064810"/>
    <w:rsid w:val="0006715D"/>
    <w:rsid w:val="00071F43"/>
    <w:rsid w:val="00072C2F"/>
    <w:rsid w:val="00073474"/>
    <w:rsid w:val="00075875"/>
    <w:rsid w:val="00076BA4"/>
    <w:rsid w:val="00077DDC"/>
    <w:rsid w:val="00080362"/>
    <w:rsid w:val="00081816"/>
    <w:rsid w:val="00081D60"/>
    <w:rsid w:val="00082313"/>
    <w:rsid w:val="00083572"/>
    <w:rsid w:val="0008569F"/>
    <w:rsid w:val="00092B08"/>
    <w:rsid w:val="00092EB6"/>
    <w:rsid w:val="000A7961"/>
    <w:rsid w:val="000B2613"/>
    <w:rsid w:val="000C1ED3"/>
    <w:rsid w:val="000C37C4"/>
    <w:rsid w:val="000C66A8"/>
    <w:rsid w:val="000D28F4"/>
    <w:rsid w:val="000E06D4"/>
    <w:rsid w:val="000E4F5E"/>
    <w:rsid w:val="000E5302"/>
    <w:rsid w:val="000E5B6B"/>
    <w:rsid w:val="000E61F2"/>
    <w:rsid w:val="000F00C0"/>
    <w:rsid w:val="000F2AE6"/>
    <w:rsid w:val="0010501C"/>
    <w:rsid w:val="00110CE2"/>
    <w:rsid w:val="0011152B"/>
    <w:rsid w:val="00112D76"/>
    <w:rsid w:val="00113752"/>
    <w:rsid w:val="00115506"/>
    <w:rsid w:val="00116DAE"/>
    <w:rsid w:val="00121584"/>
    <w:rsid w:val="001222BA"/>
    <w:rsid w:val="00122813"/>
    <w:rsid w:val="00123727"/>
    <w:rsid w:val="00126F8D"/>
    <w:rsid w:val="00127A4F"/>
    <w:rsid w:val="0013271F"/>
    <w:rsid w:val="00137362"/>
    <w:rsid w:val="00140BE2"/>
    <w:rsid w:val="0014628E"/>
    <w:rsid w:val="00150824"/>
    <w:rsid w:val="00151E38"/>
    <w:rsid w:val="001561E1"/>
    <w:rsid w:val="001572F8"/>
    <w:rsid w:val="00163EF8"/>
    <w:rsid w:val="00164020"/>
    <w:rsid w:val="00167214"/>
    <w:rsid w:val="00170F19"/>
    <w:rsid w:val="00170F41"/>
    <w:rsid w:val="0017140C"/>
    <w:rsid w:val="0017230C"/>
    <w:rsid w:val="001765BB"/>
    <w:rsid w:val="00180D9B"/>
    <w:rsid w:val="00184E26"/>
    <w:rsid w:val="00193410"/>
    <w:rsid w:val="001952FD"/>
    <w:rsid w:val="001966EF"/>
    <w:rsid w:val="001A30AD"/>
    <w:rsid w:val="001A496F"/>
    <w:rsid w:val="001B254D"/>
    <w:rsid w:val="001B2F7D"/>
    <w:rsid w:val="001C1220"/>
    <w:rsid w:val="001C3218"/>
    <w:rsid w:val="001C3350"/>
    <w:rsid w:val="001C6580"/>
    <w:rsid w:val="001D1106"/>
    <w:rsid w:val="001D35D9"/>
    <w:rsid w:val="001F11E4"/>
    <w:rsid w:val="001F25FE"/>
    <w:rsid w:val="001F3ABF"/>
    <w:rsid w:val="00200AE3"/>
    <w:rsid w:val="0020490F"/>
    <w:rsid w:val="00207C60"/>
    <w:rsid w:val="0021392B"/>
    <w:rsid w:val="00213E0E"/>
    <w:rsid w:val="00216EBB"/>
    <w:rsid w:val="0022649A"/>
    <w:rsid w:val="002273D2"/>
    <w:rsid w:val="00227610"/>
    <w:rsid w:val="00231E28"/>
    <w:rsid w:val="0023253F"/>
    <w:rsid w:val="00233560"/>
    <w:rsid w:val="002342DA"/>
    <w:rsid w:val="00234BFD"/>
    <w:rsid w:val="00235041"/>
    <w:rsid w:val="0023585C"/>
    <w:rsid w:val="00237A85"/>
    <w:rsid w:val="00242873"/>
    <w:rsid w:val="00246FC0"/>
    <w:rsid w:val="002500E5"/>
    <w:rsid w:val="002512D0"/>
    <w:rsid w:val="00253B02"/>
    <w:rsid w:val="00254009"/>
    <w:rsid w:val="0025732F"/>
    <w:rsid w:val="002578E0"/>
    <w:rsid w:val="00261ACF"/>
    <w:rsid w:val="00263010"/>
    <w:rsid w:val="002633FE"/>
    <w:rsid w:val="00263F0C"/>
    <w:rsid w:val="00264F95"/>
    <w:rsid w:val="00272D21"/>
    <w:rsid w:val="00275F29"/>
    <w:rsid w:val="00276E29"/>
    <w:rsid w:val="002775AF"/>
    <w:rsid w:val="00281007"/>
    <w:rsid w:val="002829E1"/>
    <w:rsid w:val="0028688A"/>
    <w:rsid w:val="00290BAB"/>
    <w:rsid w:val="00292E68"/>
    <w:rsid w:val="00294E66"/>
    <w:rsid w:val="002A2DDE"/>
    <w:rsid w:val="002B038E"/>
    <w:rsid w:val="002B0443"/>
    <w:rsid w:val="002B29C3"/>
    <w:rsid w:val="002B4C7A"/>
    <w:rsid w:val="002B5533"/>
    <w:rsid w:val="002B5976"/>
    <w:rsid w:val="002B7B54"/>
    <w:rsid w:val="002C0323"/>
    <w:rsid w:val="002C30E4"/>
    <w:rsid w:val="002C449A"/>
    <w:rsid w:val="002C7B67"/>
    <w:rsid w:val="002D521E"/>
    <w:rsid w:val="002D555F"/>
    <w:rsid w:val="002D77B2"/>
    <w:rsid w:val="002D7BAB"/>
    <w:rsid w:val="002E435A"/>
    <w:rsid w:val="002E5563"/>
    <w:rsid w:val="002E6666"/>
    <w:rsid w:val="002E7EFE"/>
    <w:rsid w:val="002F46FC"/>
    <w:rsid w:val="002F4F8C"/>
    <w:rsid w:val="00300624"/>
    <w:rsid w:val="003050F1"/>
    <w:rsid w:val="00310567"/>
    <w:rsid w:val="00311B69"/>
    <w:rsid w:val="00311F6B"/>
    <w:rsid w:val="003122F8"/>
    <w:rsid w:val="00316D16"/>
    <w:rsid w:val="003200EC"/>
    <w:rsid w:val="003257C4"/>
    <w:rsid w:val="00325F8D"/>
    <w:rsid w:val="0033155C"/>
    <w:rsid w:val="00333024"/>
    <w:rsid w:val="00333FD8"/>
    <w:rsid w:val="0033513B"/>
    <w:rsid w:val="003365C4"/>
    <w:rsid w:val="00353FD4"/>
    <w:rsid w:val="003602EB"/>
    <w:rsid w:val="00367019"/>
    <w:rsid w:val="003734FE"/>
    <w:rsid w:val="003751A4"/>
    <w:rsid w:val="00377A83"/>
    <w:rsid w:val="00380AD7"/>
    <w:rsid w:val="00382A18"/>
    <w:rsid w:val="00385373"/>
    <w:rsid w:val="003869C6"/>
    <w:rsid w:val="00395D11"/>
    <w:rsid w:val="0039628B"/>
    <w:rsid w:val="003A0DCD"/>
    <w:rsid w:val="003A1AE3"/>
    <w:rsid w:val="003A44CE"/>
    <w:rsid w:val="003A6FA4"/>
    <w:rsid w:val="003A7C7F"/>
    <w:rsid w:val="003B1615"/>
    <w:rsid w:val="003B497B"/>
    <w:rsid w:val="003B5C93"/>
    <w:rsid w:val="003B789E"/>
    <w:rsid w:val="003C2BE2"/>
    <w:rsid w:val="003C5036"/>
    <w:rsid w:val="003C5E5A"/>
    <w:rsid w:val="003C671B"/>
    <w:rsid w:val="003D0AD8"/>
    <w:rsid w:val="003D238E"/>
    <w:rsid w:val="003D6665"/>
    <w:rsid w:val="003E0DBD"/>
    <w:rsid w:val="003F0B45"/>
    <w:rsid w:val="003F41A2"/>
    <w:rsid w:val="003F4281"/>
    <w:rsid w:val="0040678C"/>
    <w:rsid w:val="00406FB0"/>
    <w:rsid w:val="00411088"/>
    <w:rsid w:val="00411FB0"/>
    <w:rsid w:val="004173B1"/>
    <w:rsid w:val="00423C01"/>
    <w:rsid w:val="004242ED"/>
    <w:rsid w:val="0042560E"/>
    <w:rsid w:val="004272F8"/>
    <w:rsid w:val="00430302"/>
    <w:rsid w:val="00430405"/>
    <w:rsid w:val="00430418"/>
    <w:rsid w:val="004375D7"/>
    <w:rsid w:val="0044165D"/>
    <w:rsid w:val="0044276A"/>
    <w:rsid w:val="00444388"/>
    <w:rsid w:val="004444AD"/>
    <w:rsid w:val="004456A5"/>
    <w:rsid w:val="00453E6A"/>
    <w:rsid w:val="00461DB3"/>
    <w:rsid w:val="00473F1E"/>
    <w:rsid w:val="00476291"/>
    <w:rsid w:val="00480D9B"/>
    <w:rsid w:val="00486583"/>
    <w:rsid w:val="00491094"/>
    <w:rsid w:val="00496E8F"/>
    <w:rsid w:val="004A4C2B"/>
    <w:rsid w:val="004A6DE8"/>
    <w:rsid w:val="004B327E"/>
    <w:rsid w:val="004B39FD"/>
    <w:rsid w:val="004B3B05"/>
    <w:rsid w:val="004C0482"/>
    <w:rsid w:val="004C3E13"/>
    <w:rsid w:val="004D0C59"/>
    <w:rsid w:val="004D24EA"/>
    <w:rsid w:val="004D43C4"/>
    <w:rsid w:val="004D71ED"/>
    <w:rsid w:val="004D7BD1"/>
    <w:rsid w:val="004E0AF7"/>
    <w:rsid w:val="004E2654"/>
    <w:rsid w:val="004E44ED"/>
    <w:rsid w:val="004E4A4D"/>
    <w:rsid w:val="004E6E33"/>
    <w:rsid w:val="004F2E46"/>
    <w:rsid w:val="004F350A"/>
    <w:rsid w:val="004F370F"/>
    <w:rsid w:val="004F4EFC"/>
    <w:rsid w:val="0050195F"/>
    <w:rsid w:val="00502322"/>
    <w:rsid w:val="0050364C"/>
    <w:rsid w:val="005109B7"/>
    <w:rsid w:val="00515CA6"/>
    <w:rsid w:val="0051649F"/>
    <w:rsid w:val="00517180"/>
    <w:rsid w:val="00525560"/>
    <w:rsid w:val="005264DA"/>
    <w:rsid w:val="00527544"/>
    <w:rsid w:val="00531CE6"/>
    <w:rsid w:val="00532609"/>
    <w:rsid w:val="0053480C"/>
    <w:rsid w:val="00535D8E"/>
    <w:rsid w:val="00543B63"/>
    <w:rsid w:val="00544375"/>
    <w:rsid w:val="005455B5"/>
    <w:rsid w:val="00550256"/>
    <w:rsid w:val="00553AAC"/>
    <w:rsid w:val="00553F4C"/>
    <w:rsid w:val="00554492"/>
    <w:rsid w:val="00554515"/>
    <w:rsid w:val="005551D1"/>
    <w:rsid w:val="00557289"/>
    <w:rsid w:val="00557B21"/>
    <w:rsid w:val="00567036"/>
    <w:rsid w:val="0057113A"/>
    <w:rsid w:val="00572A27"/>
    <w:rsid w:val="00575B71"/>
    <w:rsid w:val="00582989"/>
    <w:rsid w:val="005842E8"/>
    <w:rsid w:val="00586024"/>
    <w:rsid w:val="00587ED6"/>
    <w:rsid w:val="00591EB1"/>
    <w:rsid w:val="0059597D"/>
    <w:rsid w:val="005A44AF"/>
    <w:rsid w:val="005A56FD"/>
    <w:rsid w:val="005B0DC6"/>
    <w:rsid w:val="005B5730"/>
    <w:rsid w:val="005B685F"/>
    <w:rsid w:val="005B7D00"/>
    <w:rsid w:val="005C4332"/>
    <w:rsid w:val="005C7725"/>
    <w:rsid w:val="005D28CA"/>
    <w:rsid w:val="005D45E7"/>
    <w:rsid w:val="005D584B"/>
    <w:rsid w:val="005E2235"/>
    <w:rsid w:val="005F1AA8"/>
    <w:rsid w:val="005F1D4F"/>
    <w:rsid w:val="005F69D9"/>
    <w:rsid w:val="006018B2"/>
    <w:rsid w:val="0060489C"/>
    <w:rsid w:val="00607BE1"/>
    <w:rsid w:val="00616209"/>
    <w:rsid w:val="006240ED"/>
    <w:rsid w:val="0063387F"/>
    <w:rsid w:val="0063691A"/>
    <w:rsid w:val="00644B1F"/>
    <w:rsid w:val="00645462"/>
    <w:rsid w:val="00645A5B"/>
    <w:rsid w:val="00645AEA"/>
    <w:rsid w:val="0064677A"/>
    <w:rsid w:val="00647E73"/>
    <w:rsid w:val="00651A28"/>
    <w:rsid w:val="00652DB1"/>
    <w:rsid w:val="00653271"/>
    <w:rsid w:val="00654EEE"/>
    <w:rsid w:val="006550AC"/>
    <w:rsid w:val="006577C1"/>
    <w:rsid w:val="0066036A"/>
    <w:rsid w:val="00663CB0"/>
    <w:rsid w:val="006645D8"/>
    <w:rsid w:val="00664B31"/>
    <w:rsid w:val="00664D4F"/>
    <w:rsid w:val="00677349"/>
    <w:rsid w:val="006829CC"/>
    <w:rsid w:val="006836E6"/>
    <w:rsid w:val="00684099"/>
    <w:rsid w:val="0069612F"/>
    <w:rsid w:val="006A01A7"/>
    <w:rsid w:val="006A1764"/>
    <w:rsid w:val="006A5232"/>
    <w:rsid w:val="006A6CF5"/>
    <w:rsid w:val="006A6D21"/>
    <w:rsid w:val="006A6FCA"/>
    <w:rsid w:val="006B1DFE"/>
    <w:rsid w:val="006B2A29"/>
    <w:rsid w:val="006B580E"/>
    <w:rsid w:val="006B6EBD"/>
    <w:rsid w:val="006B6FB0"/>
    <w:rsid w:val="006B7654"/>
    <w:rsid w:val="006C0C2B"/>
    <w:rsid w:val="006C20B0"/>
    <w:rsid w:val="006C2CCB"/>
    <w:rsid w:val="006D054A"/>
    <w:rsid w:val="006E1010"/>
    <w:rsid w:val="006F10BF"/>
    <w:rsid w:val="006F4E87"/>
    <w:rsid w:val="006F75E9"/>
    <w:rsid w:val="00702C65"/>
    <w:rsid w:val="007050BD"/>
    <w:rsid w:val="00707F21"/>
    <w:rsid w:val="00713069"/>
    <w:rsid w:val="00713947"/>
    <w:rsid w:val="00715781"/>
    <w:rsid w:val="00721A02"/>
    <w:rsid w:val="0072280C"/>
    <w:rsid w:val="0072286A"/>
    <w:rsid w:val="00722EF9"/>
    <w:rsid w:val="00723C2C"/>
    <w:rsid w:val="007247F3"/>
    <w:rsid w:val="007252B4"/>
    <w:rsid w:val="007257CE"/>
    <w:rsid w:val="00730964"/>
    <w:rsid w:val="00735E46"/>
    <w:rsid w:val="007366BD"/>
    <w:rsid w:val="00744449"/>
    <w:rsid w:val="00746BE2"/>
    <w:rsid w:val="007519D3"/>
    <w:rsid w:val="0075527D"/>
    <w:rsid w:val="0075543C"/>
    <w:rsid w:val="00755A29"/>
    <w:rsid w:val="00766E77"/>
    <w:rsid w:val="00772ABF"/>
    <w:rsid w:val="00772D9B"/>
    <w:rsid w:val="007758DE"/>
    <w:rsid w:val="00780795"/>
    <w:rsid w:val="00781510"/>
    <w:rsid w:val="00781C3C"/>
    <w:rsid w:val="00782FCB"/>
    <w:rsid w:val="007873C2"/>
    <w:rsid w:val="00792AA8"/>
    <w:rsid w:val="00795B27"/>
    <w:rsid w:val="00796452"/>
    <w:rsid w:val="00796DB8"/>
    <w:rsid w:val="007A0568"/>
    <w:rsid w:val="007A506D"/>
    <w:rsid w:val="007A551E"/>
    <w:rsid w:val="007A67B5"/>
    <w:rsid w:val="007A6DD4"/>
    <w:rsid w:val="007A7205"/>
    <w:rsid w:val="007B00A8"/>
    <w:rsid w:val="007B21F1"/>
    <w:rsid w:val="007B23FA"/>
    <w:rsid w:val="007B3B7B"/>
    <w:rsid w:val="007B7D82"/>
    <w:rsid w:val="007C42F7"/>
    <w:rsid w:val="007C55F7"/>
    <w:rsid w:val="007C734B"/>
    <w:rsid w:val="007C76B7"/>
    <w:rsid w:val="007D12ED"/>
    <w:rsid w:val="007D1622"/>
    <w:rsid w:val="007D241C"/>
    <w:rsid w:val="007D3F4E"/>
    <w:rsid w:val="007D55F9"/>
    <w:rsid w:val="007E0E37"/>
    <w:rsid w:val="007E4161"/>
    <w:rsid w:val="007E50BB"/>
    <w:rsid w:val="007E51D1"/>
    <w:rsid w:val="007F063A"/>
    <w:rsid w:val="007F214D"/>
    <w:rsid w:val="007F7503"/>
    <w:rsid w:val="0080435B"/>
    <w:rsid w:val="008138A8"/>
    <w:rsid w:val="0081499B"/>
    <w:rsid w:val="008155CC"/>
    <w:rsid w:val="00821B08"/>
    <w:rsid w:val="008222B5"/>
    <w:rsid w:val="00830BB5"/>
    <w:rsid w:val="008310F5"/>
    <w:rsid w:val="008334A5"/>
    <w:rsid w:val="00835620"/>
    <w:rsid w:val="00841871"/>
    <w:rsid w:val="0084378B"/>
    <w:rsid w:val="00843EC8"/>
    <w:rsid w:val="008513B1"/>
    <w:rsid w:val="00867C6B"/>
    <w:rsid w:val="008727D6"/>
    <w:rsid w:val="00876B80"/>
    <w:rsid w:val="008779BB"/>
    <w:rsid w:val="00886A45"/>
    <w:rsid w:val="008930E5"/>
    <w:rsid w:val="00893C55"/>
    <w:rsid w:val="00893DD0"/>
    <w:rsid w:val="00894A19"/>
    <w:rsid w:val="008964BD"/>
    <w:rsid w:val="008A0A32"/>
    <w:rsid w:val="008A14F6"/>
    <w:rsid w:val="008A2B2C"/>
    <w:rsid w:val="008A4200"/>
    <w:rsid w:val="008A6348"/>
    <w:rsid w:val="008B1454"/>
    <w:rsid w:val="008B206B"/>
    <w:rsid w:val="008C1194"/>
    <w:rsid w:val="008C1B3F"/>
    <w:rsid w:val="008C44FD"/>
    <w:rsid w:val="008D1CD7"/>
    <w:rsid w:val="008D5360"/>
    <w:rsid w:val="008E2F27"/>
    <w:rsid w:val="008E3FF7"/>
    <w:rsid w:val="008F168F"/>
    <w:rsid w:val="008F3A4A"/>
    <w:rsid w:val="00900AA6"/>
    <w:rsid w:val="00903803"/>
    <w:rsid w:val="009052C4"/>
    <w:rsid w:val="009061D6"/>
    <w:rsid w:val="00910372"/>
    <w:rsid w:val="00910F0F"/>
    <w:rsid w:val="00912443"/>
    <w:rsid w:val="00914CC0"/>
    <w:rsid w:val="0092085B"/>
    <w:rsid w:val="0092161B"/>
    <w:rsid w:val="009245A0"/>
    <w:rsid w:val="00925EFD"/>
    <w:rsid w:val="00927DAF"/>
    <w:rsid w:val="00934BFD"/>
    <w:rsid w:val="00941120"/>
    <w:rsid w:val="00942343"/>
    <w:rsid w:val="0095591A"/>
    <w:rsid w:val="009565C8"/>
    <w:rsid w:val="009641BB"/>
    <w:rsid w:val="00967C99"/>
    <w:rsid w:val="0097092F"/>
    <w:rsid w:val="0097405A"/>
    <w:rsid w:val="0097499A"/>
    <w:rsid w:val="00986862"/>
    <w:rsid w:val="00986C7F"/>
    <w:rsid w:val="009910B7"/>
    <w:rsid w:val="00995767"/>
    <w:rsid w:val="00996A97"/>
    <w:rsid w:val="00996E28"/>
    <w:rsid w:val="009973EA"/>
    <w:rsid w:val="00997A1F"/>
    <w:rsid w:val="009A6802"/>
    <w:rsid w:val="009B7E96"/>
    <w:rsid w:val="009C45EC"/>
    <w:rsid w:val="009C4C27"/>
    <w:rsid w:val="009D2916"/>
    <w:rsid w:val="009D480D"/>
    <w:rsid w:val="009D7E00"/>
    <w:rsid w:val="009E32F0"/>
    <w:rsid w:val="009E7294"/>
    <w:rsid w:val="009F2BB3"/>
    <w:rsid w:val="00A00716"/>
    <w:rsid w:val="00A056D7"/>
    <w:rsid w:val="00A1037B"/>
    <w:rsid w:val="00A15712"/>
    <w:rsid w:val="00A2030C"/>
    <w:rsid w:val="00A20752"/>
    <w:rsid w:val="00A27279"/>
    <w:rsid w:val="00A32555"/>
    <w:rsid w:val="00A34044"/>
    <w:rsid w:val="00A35680"/>
    <w:rsid w:val="00A36A23"/>
    <w:rsid w:val="00A428FE"/>
    <w:rsid w:val="00A441C1"/>
    <w:rsid w:val="00A44C13"/>
    <w:rsid w:val="00A45B9F"/>
    <w:rsid w:val="00A47343"/>
    <w:rsid w:val="00A52CC9"/>
    <w:rsid w:val="00A53352"/>
    <w:rsid w:val="00A574DC"/>
    <w:rsid w:val="00A7471D"/>
    <w:rsid w:val="00A90C3A"/>
    <w:rsid w:val="00AA05E3"/>
    <w:rsid w:val="00AA280D"/>
    <w:rsid w:val="00AA68FD"/>
    <w:rsid w:val="00AA6B45"/>
    <w:rsid w:val="00AA6BAF"/>
    <w:rsid w:val="00AB2342"/>
    <w:rsid w:val="00AB5205"/>
    <w:rsid w:val="00AB581C"/>
    <w:rsid w:val="00AC5068"/>
    <w:rsid w:val="00AC5A2E"/>
    <w:rsid w:val="00AC7A8C"/>
    <w:rsid w:val="00AC7A95"/>
    <w:rsid w:val="00AD11A5"/>
    <w:rsid w:val="00AD4F9A"/>
    <w:rsid w:val="00AD4FDC"/>
    <w:rsid w:val="00AD5070"/>
    <w:rsid w:val="00AD61B8"/>
    <w:rsid w:val="00AD6581"/>
    <w:rsid w:val="00AE2C99"/>
    <w:rsid w:val="00AE2EE0"/>
    <w:rsid w:val="00B03B87"/>
    <w:rsid w:val="00B03E5E"/>
    <w:rsid w:val="00B11BE8"/>
    <w:rsid w:val="00B12468"/>
    <w:rsid w:val="00B21264"/>
    <w:rsid w:val="00B24862"/>
    <w:rsid w:val="00B27803"/>
    <w:rsid w:val="00B306B7"/>
    <w:rsid w:val="00B34DEB"/>
    <w:rsid w:val="00B3607C"/>
    <w:rsid w:val="00B4202E"/>
    <w:rsid w:val="00B46B81"/>
    <w:rsid w:val="00B478E4"/>
    <w:rsid w:val="00B50EB2"/>
    <w:rsid w:val="00B51461"/>
    <w:rsid w:val="00B51B94"/>
    <w:rsid w:val="00B533B8"/>
    <w:rsid w:val="00B53773"/>
    <w:rsid w:val="00B61959"/>
    <w:rsid w:val="00B63400"/>
    <w:rsid w:val="00B64DBB"/>
    <w:rsid w:val="00B65809"/>
    <w:rsid w:val="00B65B75"/>
    <w:rsid w:val="00B82FE2"/>
    <w:rsid w:val="00B93767"/>
    <w:rsid w:val="00BA1693"/>
    <w:rsid w:val="00BA1F1F"/>
    <w:rsid w:val="00BA6186"/>
    <w:rsid w:val="00BA7150"/>
    <w:rsid w:val="00BA7963"/>
    <w:rsid w:val="00BB0444"/>
    <w:rsid w:val="00BB0EF1"/>
    <w:rsid w:val="00BB1D0C"/>
    <w:rsid w:val="00BC0309"/>
    <w:rsid w:val="00BC32DB"/>
    <w:rsid w:val="00BD02D6"/>
    <w:rsid w:val="00BD133E"/>
    <w:rsid w:val="00BD1B14"/>
    <w:rsid w:val="00BD28EF"/>
    <w:rsid w:val="00BE2504"/>
    <w:rsid w:val="00BE3148"/>
    <w:rsid w:val="00BE4E16"/>
    <w:rsid w:val="00BF35DD"/>
    <w:rsid w:val="00C12E6E"/>
    <w:rsid w:val="00C12FF2"/>
    <w:rsid w:val="00C14D2B"/>
    <w:rsid w:val="00C159B5"/>
    <w:rsid w:val="00C17C78"/>
    <w:rsid w:val="00C24B3F"/>
    <w:rsid w:val="00C25A67"/>
    <w:rsid w:val="00C337F9"/>
    <w:rsid w:val="00C35397"/>
    <w:rsid w:val="00C45B88"/>
    <w:rsid w:val="00C45FAC"/>
    <w:rsid w:val="00C46B2A"/>
    <w:rsid w:val="00C47360"/>
    <w:rsid w:val="00C50B1A"/>
    <w:rsid w:val="00C525F7"/>
    <w:rsid w:val="00C52704"/>
    <w:rsid w:val="00C5321A"/>
    <w:rsid w:val="00C53484"/>
    <w:rsid w:val="00C60FEC"/>
    <w:rsid w:val="00C62FB5"/>
    <w:rsid w:val="00C63953"/>
    <w:rsid w:val="00C63A1F"/>
    <w:rsid w:val="00C64243"/>
    <w:rsid w:val="00C66472"/>
    <w:rsid w:val="00C6664E"/>
    <w:rsid w:val="00C71E52"/>
    <w:rsid w:val="00C73AA9"/>
    <w:rsid w:val="00C807C2"/>
    <w:rsid w:val="00C81C6E"/>
    <w:rsid w:val="00C84EF7"/>
    <w:rsid w:val="00C93286"/>
    <w:rsid w:val="00C93615"/>
    <w:rsid w:val="00C93CF9"/>
    <w:rsid w:val="00C969D8"/>
    <w:rsid w:val="00C96FAE"/>
    <w:rsid w:val="00CA08EE"/>
    <w:rsid w:val="00CA4172"/>
    <w:rsid w:val="00CA6610"/>
    <w:rsid w:val="00CA77FD"/>
    <w:rsid w:val="00CB2FC5"/>
    <w:rsid w:val="00CC305D"/>
    <w:rsid w:val="00CC6F12"/>
    <w:rsid w:val="00CC7DBC"/>
    <w:rsid w:val="00CD1FC4"/>
    <w:rsid w:val="00CD39ED"/>
    <w:rsid w:val="00CD43F7"/>
    <w:rsid w:val="00CD6D62"/>
    <w:rsid w:val="00CE1FE2"/>
    <w:rsid w:val="00CE3741"/>
    <w:rsid w:val="00CF1B9E"/>
    <w:rsid w:val="00CF347F"/>
    <w:rsid w:val="00CF422B"/>
    <w:rsid w:val="00CF535B"/>
    <w:rsid w:val="00D012CC"/>
    <w:rsid w:val="00D02F76"/>
    <w:rsid w:val="00D04259"/>
    <w:rsid w:val="00D042FB"/>
    <w:rsid w:val="00D07221"/>
    <w:rsid w:val="00D232AE"/>
    <w:rsid w:val="00D314AA"/>
    <w:rsid w:val="00D3688A"/>
    <w:rsid w:val="00D544EE"/>
    <w:rsid w:val="00D6479A"/>
    <w:rsid w:val="00D709F4"/>
    <w:rsid w:val="00D714B7"/>
    <w:rsid w:val="00D71EF2"/>
    <w:rsid w:val="00D724DB"/>
    <w:rsid w:val="00D737C5"/>
    <w:rsid w:val="00D750A9"/>
    <w:rsid w:val="00D77E0D"/>
    <w:rsid w:val="00D80C1A"/>
    <w:rsid w:val="00D84F08"/>
    <w:rsid w:val="00D92412"/>
    <w:rsid w:val="00D9737C"/>
    <w:rsid w:val="00D97774"/>
    <w:rsid w:val="00DA2108"/>
    <w:rsid w:val="00DB01D4"/>
    <w:rsid w:val="00DB4E4B"/>
    <w:rsid w:val="00DB555D"/>
    <w:rsid w:val="00DB683B"/>
    <w:rsid w:val="00DB7E96"/>
    <w:rsid w:val="00DC6790"/>
    <w:rsid w:val="00DC7B9C"/>
    <w:rsid w:val="00DC7CBA"/>
    <w:rsid w:val="00DD183E"/>
    <w:rsid w:val="00DD256D"/>
    <w:rsid w:val="00DD4286"/>
    <w:rsid w:val="00DD543D"/>
    <w:rsid w:val="00DE48C0"/>
    <w:rsid w:val="00DE52A7"/>
    <w:rsid w:val="00DF70EA"/>
    <w:rsid w:val="00E06F4D"/>
    <w:rsid w:val="00E11FF6"/>
    <w:rsid w:val="00E14055"/>
    <w:rsid w:val="00E15E9D"/>
    <w:rsid w:val="00E1624A"/>
    <w:rsid w:val="00E217D5"/>
    <w:rsid w:val="00E2294B"/>
    <w:rsid w:val="00E25982"/>
    <w:rsid w:val="00E36D2B"/>
    <w:rsid w:val="00E3746F"/>
    <w:rsid w:val="00E41EDB"/>
    <w:rsid w:val="00E4450A"/>
    <w:rsid w:val="00E46620"/>
    <w:rsid w:val="00E533A4"/>
    <w:rsid w:val="00E535A3"/>
    <w:rsid w:val="00E54A2C"/>
    <w:rsid w:val="00E62B1B"/>
    <w:rsid w:val="00E6454E"/>
    <w:rsid w:val="00E65525"/>
    <w:rsid w:val="00E66F1E"/>
    <w:rsid w:val="00E71539"/>
    <w:rsid w:val="00E756B8"/>
    <w:rsid w:val="00E8190F"/>
    <w:rsid w:val="00E820F3"/>
    <w:rsid w:val="00E82F67"/>
    <w:rsid w:val="00E84315"/>
    <w:rsid w:val="00E90220"/>
    <w:rsid w:val="00E920AA"/>
    <w:rsid w:val="00E96C3C"/>
    <w:rsid w:val="00EA1A8C"/>
    <w:rsid w:val="00EA6702"/>
    <w:rsid w:val="00EB1D87"/>
    <w:rsid w:val="00EB23C7"/>
    <w:rsid w:val="00EB417F"/>
    <w:rsid w:val="00EB48E9"/>
    <w:rsid w:val="00EB4D87"/>
    <w:rsid w:val="00EC4637"/>
    <w:rsid w:val="00EC5EF5"/>
    <w:rsid w:val="00EC5FD2"/>
    <w:rsid w:val="00ED42A7"/>
    <w:rsid w:val="00ED4941"/>
    <w:rsid w:val="00EE5EB5"/>
    <w:rsid w:val="00EE65CE"/>
    <w:rsid w:val="00EE6D3C"/>
    <w:rsid w:val="00EF2710"/>
    <w:rsid w:val="00EF3E7D"/>
    <w:rsid w:val="00EF4973"/>
    <w:rsid w:val="00EF64E1"/>
    <w:rsid w:val="00F07062"/>
    <w:rsid w:val="00F07652"/>
    <w:rsid w:val="00F10097"/>
    <w:rsid w:val="00F10154"/>
    <w:rsid w:val="00F1542C"/>
    <w:rsid w:val="00F16BB8"/>
    <w:rsid w:val="00F16BF0"/>
    <w:rsid w:val="00F2474C"/>
    <w:rsid w:val="00F306AE"/>
    <w:rsid w:val="00F30EA6"/>
    <w:rsid w:val="00F3153C"/>
    <w:rsid w:val="00F323A7"/>
    <w:rsid w:val="00F36A61"/>
    <w:rsid w:val="00F37EA8"/>
    <w:rsid w:val="00F45063"/>
    <w:rsid w:val="00F51216"/>
    <w:rsid w:val="00F554B5"/>
    <w:rsid w:val="00F61B2E"/>
    <w:rsid w:val="00F63C74"/>
    <w:rsid w:val="00F66AC4"/>
    <w:rsid w:val="00F70554"/>
    <w:rsid w:val="00F71AB5"/>
    <w:rsid w:val="00F80061"/>
    <w:rsid w:val="00F821BD"/>
    <w:rsid w:val="00F92268"/>
    <w:rsid w:val="00F93258"/>
    <w:rsid w:val="00FA4012"/>
    <w:rsid w:val="00FA4284"/>
    <w:rsid w:val="00FB0C8D"/>
    <w:rsid w:val="00FB2038"/>
    <w:rsid w:val="00FB2498"/>
    <w:rsid w:val="00FB524F"/>
    <w:rsid w:val="00FB5823"/>
    <w:rsid w:val="00FB6393"/>
    <w:rsid w:val="00FB6845"/>
    <w:rsid w:val="00FB7E63"/>
    <w:rsid w:val="00FC0489"/>
    <w:rsid w:val="00FC058C"/>
    <w:rsid w:val="00FC4486"/>
    <w:rsid w:val="00FD328B"/>
    <w:rsid w:val="00FE0C66"/>
    <w:rsid w:val="00FE0E64"/>
    <w:rsid w:val="00FE2917"/>
    <w:rsid w:val="00FE2AD5"/>
    <w:rsid w:val="00FF0CCF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BCAFF6F-36A9-4974-94A0-7EAE375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A6"/>
  </w:style>
  <w:style w:type="paragraph" w:styleId="Ttulo1">
    <w:name w:val="heading 1"/>
    <w:basedOn w:val="Normal"/>
    <w:next w:val="Normal"/>
    <w:link w:val="Ttulo1Char"/>
    <w:uiPriority w:val="9"/>
    <w:qFormat/>
    <w:rsid w:val="00F30EA6"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30EA6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F30EA6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uiPriority w:val="9"/>
    <w:qFormat/>
    <w:rsid w:val="00F30EA6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6F4E87"/>
    <w:rPr>
      <w:rFonts w:ascii="Arial" w:hAnsi="Arial" w:cs="Times New Roman"/>
      <w:b/>
      <w:sz w:val="24"/>
    </w:rPr>
  </w:style>
  <w:style w:type="paragraph" w:styleId="Ttulo">
    <w:name w:val="Title"/>
    <w:basedOn w:val="Normal"/>
    <w:link w:val="TtuloChar"/>
    <w:uiPriority w:val="10"/>
    <w:qFormat/>
    <w:rsid w:val="00F30EA6"/>
    <w:pPr>
      <w:jc w:val="center"/>
    </w:pPr>
    <w:rPr>
      <w:rFonts w:ascii="Arial" w:hAnsi="Arial"/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rsid w:val="00F30EA6"/>
    <w:pPr>
      <w:tabs>
        <w:tab w:val="center" w:pos="4419"/>
        <w:tab w:val="right" w:pos="8838"/>
      </w:tabs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30EA6"/>
    <w:pPr>
      <w:tabs>
        <w:tab w:val="left" w:pos="567"/>
        <w:tab w:val="left" w:pos="5670"/>
      </w:tabs>
      <w:jc w:val="center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rsid w:val="00F30EA6"/>
    <w:pPr>
      <w:tabs>
        <w:tab w:val="center" w:pos="4419"/>
        <w:tab w:val="right" w:pos="8838"/>
      </w:tabs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rsid w:val="00F30EA6"/>
    <w:rPr>
      <w:rFonts w:cs="Times New Roman"/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locked/>
    <w:rsid w:val="00CA77FD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F30EA6"/>
    <w:pPr>
      <w:widowControl w:val="0"/>
      <w:spacing w:line="230" w:lineRule="auto"/>
      <w:ind w:left="567" w:hanging="567"/>
    </w:pPr>
    <w:rPr>
      <w:b/>
    </w:rPr>
  </w:style>
  <w:style w:type="paragraph" w:styleId="Corpodetexto">
    <w:name w:val="Body Text"/>
    <w:basedOn w:val="Normal"/>
    <w:link w:val="CorpodetextoChar"/>
    <w:uiPriority w:val="99"/>
    <w:semiHidden/>
    <w:rsid w:val="00F30EA6"/>
    <w:pPr>
      <w:widowControl w:val="0"/>
      <w:spacing w:line="230" w:lineRule="auto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30EA6"/>
    <w:pPr>
      <w:widowControl w:val="0"/>
      <w:spacing w:line="230" w:lineRule="auto"/>
      <w:ind w:left="1065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71539"/>
    <w:rPr>
      <w:rFonts w:cs="Times New Roman"/>
      <w:b/>
    </w:rPr>
  </w:style>
  <w:style w:type="paragraph" w:styleId="Corpodetexto2">
    <w:name w:val="Body Text 2"/>
    <w:basedOn w:val="Normal"/>
    <w:link w:val="Corpodetexto2Char"/>
    <w:uiPriority w:val="99"/>
    <w:semiHidden/>
    <w:rsid w:val="00F30EA6"/>
    <w:pPr>
      <w:widowControl w:val="0"/>
      <w:spacing w:line="230" w:lineRule="auto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6369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F10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3B1"/>
    <w:pPr>
      <w:spacing w:line="360" w:lineRule="auto"/>
      <w:ind w:firstLine="12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2B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222B5"/>
    <w:rPr>
      <w:rFonts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222B5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22B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22B5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8222B5"/>
    <w:rPr>
      <w:rFonts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8222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JULIANEML\Meus%20documentos\Juliane\Adsup\Modelos%20de%20instru&#231;&#227;o\Formul&#225;rios%20SECEX-MG%20(atualizados)\Representa&#231;&#227;o%20-%20SECEX%20MG\Formulario%203_InstrucaoComplementardeRepresentacao_PosDiligencia_NO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A213-5E00-4274-97F7-D985AA60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3_InstrucaoComplementardeRepresentacao_PosDiligencia_NOVO</Template>
  <TotalTime>292</TotalTime>
  <Pages>6</Pages>
  <Words>2840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EXAME DE ADMISSIBILIDADE DE RECURSOS</vt:lpstr>
    </vt:vector>
  </TitlesOfParts>
  <Company>TCU</Company>
  <LinksUpToDate>false</LinksUpToDate>
  <CharactersWithSpaces>18407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EXAME DE ADMISSIBILIDADE DE RECURSOS</dc:title>
  <dc:subject/>
  <dc:creator>JULIANEML</dc:creator>
  <cp:keywords/>
  <dc:description/>
  <cp:lastModifiedBy>Ronildo Ferreira Nunes</cp:lastModifiedBy>
  <cp:revision>13</cp:revision>
  <cp:lastPrinted>2009-06-19T18:27:00Z</cp:lastPrinted>
  <dcterms:created xsi:type="dcterms:W3CDTF">2015-09-09T20:08:00Z</dcterms:created>
  <dcterms:modified xsi:type="dcterms:W3CDTF">2015-09-11T15:10:00Z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Compartilhado</vt:lpwstr>
  </property>
</Properties>
</file>